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EF" w:rsidRDefault="007161EF" w:rsidP="007161EF"/>
    <w:p w:rsidR="00B54F95" w:rsidRPr="007161EF" w:rsidRDefault="00B54F95" w:rsidP="007161EF">
      <w:pPr>
        <w:rPr>
          <w:b/>
        </w:rPr>
      </w:pPr>
      <w:r w:rsidRPr="007161EF">
        <w:rPr>
          <w:b/>
        </w:rPr>
        <w:t>Section 400.1</w:t>
      </w:r>
      <w:r w:rsidR="00D91679">
        <w:rPr>
          <w:b/>
        </w:rPr>
        <w:t>0</w:t>
      </w:r>
      <w:r w:rsidRPr="007161EF">
        <w:rPr>
          <w:b/>
        </w:rPr>
        <w:t>25</w:t>
      </w:r>
      <w:r w:rsidR="007161EF">
        <w:rPr>
          <w:b/>
        </w:rPr>
        <w:t xml:space="preserve"> </w:t>
      </w:r>
      <w:r w:rsidRPr="007161EF">
        <w:rPr>
          <w:b/>
        </w:rPr>
        <w:t xml:space="preserve"> State Judge Advocate</w:t>
      </w:r>
      <w:r w:rsidR="007161EF" w:rsidRPr="007161EF">
        <w:rPr>
          <w:b/>
        </w:rPr>
        <w:t>'</w:t>
      </w:r>
      <w:r w:rsidRPr="007161EF">
        <w:rPr>
          <w:b/>
        </w:rPr>
        <w:t>s Addendum</w:t>
      </w:r>
    </w:p>
    <w:p w:rsidR="00B54F95" w:rsidRPr="007161EF" w:rsidRDefault="00B54F95" w:rsidP="007161EF"/>
    <w:p w:rsidR="00B54F95" w:rsidRPr="007161EF" w:rsidRDefault="007161EF" w:rsidP="007161EF">
      <w:pPr>
        <w:ind w:left="1440" w:hanging="720"/>
      </w:pPr>
      <w:r>
        <w:t>a)</w:t>
      </w:r>
      <w:r>
        <w:tab/>
      </w:r>
      <w:r w:rsidR="00B54F95" w:rsidRPr="007161EF">
        <w:t>The State Judge Advocate or designee may</w:t>
      </w:r>
      <w:r w:rsidR="009E3870">
        <w:t>,</w:t>
      </w:r>
      <w:r w:rsidR="00B54F95" w:rsidRPr="007161EF">
        <w:t xml:space="preserve"> by addendum</w:t>
      </w:r>
      <w:r w:rsidR="009E3870">
        <w:t>,</w:t>
      </w:r>
      <w:bookmarkStart w:id="0" w:name="_GoBack"/>
      <w:bookmarkEnd w:id="0"/>
      <w:r w:rsidR="00B54F95" w:rsidRPr="007161EF">
        <w:t xml:space="preserve"> supplement the recommendation after the accused and counsel have been served with the recommendation and given an opportunity to submit matters and comment. </w:t>
      </w:r>
    </w:p>
    <w:p w:rsidR="00B54F95" w:rsidRPr="007161EF" w:rsidRDefault="00B54F95" w:rsidP="007161EF">
      <w:pPr>
        <w:ind w:left="1440" w:hanging="720"/>
      </w:pPr>
    </w:p>
    <w:p w:rsidR="000174EB" w:rsidRPr="007161EF" w:rsidRDefault="00B54F95" w:rsidP="007161EF">
      <w:pPr>
        <w:ind w:left="1440" w:hanging="720"/>
      </w:pPr>
      <w:r w:rsidRPr="007161EF">
        <w:t>b)</w:t>
      </w:r>
      <w:r w:rsidRPr="007161EF">
        <w:tab/>
        <w:t>If the addendum introduces new matter after the accused and counsel have examined the recommendation, the accused and counsel must be served with the addendum containing new matter and given 30 days from service of the addendum to submit comments.</w:t>
      </w:r>
    </w:p>
    <w:sectPr w:rsidR="000174EB" w:rsidRPr="007161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95" w:rsidRDefault="00B54F95">
      <w:r>
        <w:separator/>
      </w:r>
    </w:p>
  </w:endnote>
  <w:endnote w:type="continuationSeparator" w:id="0">
    <w:p w:rsidR="00B54F95" w:rsidRDefault="00B5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95" w:rsidRDefault="00B54F95">
      <w:r>
        <w:separator/>
      </w:r>
    </w:p>
  </w:footnote>
  <w:footnote w:type="continuationSeparator" w:id="0">
    <w:p w:rsidR="00B54F95" w:rsidRDefault="00B5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756C0"/>
    <w:multiLevelType w:val="hybridMultilevel"/>
    <w:tmpl w:val="1FAC597C"/>
    <w:lvl w:ilvl="0" w:tplc="207A4D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1EF"/>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870"/>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F95"/>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679"/>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2877C-371D-4AD0-809D-776443A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54F95"/>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56599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4</cp:revision>
  <dcterms:created xsi:type="dcterms:W3CDTF">2017-01-30T20:52:00Z</dcterms:created>
  <dcterms:modified xsi:type="dcterms:W3CDTF">2017-04-19T23:01:00Z</dcterms:modified>
</cp:coreProperties>
</file>