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BA" w:rsidRDefault="004F46BA" w:rsidP="004F4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46BA" w:rsidRDefault="004F46BA" w:rsidP="004F46BA">
      <w:pPr>
        <w:widowControl w:val="0"/>
        <w:autoSpaceDE w:val="0"/>
        <w:autoSpaceDN w:val="0"/>
        <w:adjustRightInd w:val="0"/>
      </w:pPr>
      <w:r>
        <w:t xml:space="preserve">AUTHORITY:  Implementing Section 2b of the Department of Veterans Affairs Act [20 ILCS 2805/2b] and authorized by Section 2.9. of the Department of Veterans Affairs Act [20 ILCS 2805]. </w:t>
      </w:r>
    </w:p>
    <w:sectPr w:rsidR="004F46BA" w:rsidSect="004F4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6BA"/>
    <w:rsid w:val="004E620A"/>
    <w:rsid w:val="004F46BA"/>
    <w:rsid w:val="006F1FE5"/>
    <w:rsid w:val="00C1699D"/>
    <w:rsid w:val="00D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2b of the Department of Veterans Affairs Act [20 ILCS 2805/2b] and authorized by Section 2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2b of the Department of Veterans Affairs Act [20 ILCS 2805/2b] and authorized by Section 2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