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BA" w:rsidRDefault="002661BA" w:rsidP="002661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61BA" w:rsidRDefault="002661BA" w:rsidP="002661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104.70  Service in the Merchant Marine</w:t>
      </w:r>
      <w:r>
        <w:t xml:space="preserve"> </w:t>
      </w:r>
    </w:p>
    <w:p w:rsidR="002661BA" w:rsidRDefault="002661BA" w:rsidP="002661BA">
      <w:pPr>
        <w:widowControl w:val="0"/>
        <w:autoSpaceDE w:val="0"/>
        <w:autoSpaceDN w:val="0"/>
        <w:adjustRightInd w:val="0"/>
      </w:pPr>
    </w:p>
    <w:p w:rsidR="002661BA" w:rsidRDefault="002661BA" w:rsidP="002661BA">
      <w:pPr>
        <w:widowControl w:val="0"/>
        <w:autoSpaceDE w:val="0"/>
        <w:autoSpaceDN w:val="0"/>
        <w:adjustRightInd w:val="0"/>
      </w:pPr>
      <w:r>
        <w:t xml:space="preserve">Service in the merchant marine is not service in the armed forces for purpose of this Act. </w:t>
      </w:r>
    </w:p>
    <w:sectPr w:rsidR="002661BA" w:rsidSect="002661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61BA"/>
    <w:rsid w:val="000225AE"/>
    <w:rsid w:val="002661BA"/>
    <w:rsid w:val="004E620A"/>
    <w:rsid w:val="005E5753"/>
    <w:rsid w:val="00AA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