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FC" w:rsidRDefault="006E65FC" w:rsidP="006E65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65FC" w:rsidRDefault="006E65FC" w:rsidP="006E65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103.150  Form of Assistance Granted</w:t>
      </w:r>
      <w:r>
        <w:t xml:space="preserve"> </w:t>
      </w:r>
    </w:p>
    <w:p w:rsidR="006E65FC" w:rsidRDefault="006E65FC" w:rsidP="006E65FC">
      <w:pPr>
        <w:widowControl w:val="0"/>
        <w:autoSpaceDE w:val="0"/>
        <w:autoSpaceDN w:val="0"/>
        <w:adjustRightInd w:val="0"/>
      </w:pPr>
    </w:p>
    <w:p w:rsidR="006E65FC" w:rsidRDefault="006E65FC" w:rsidP="006E65FC">
      <w:pPr>
        <w:widowControl w:val="0"/>
        <w:autoSpaceDE w:val="0"/>
        <w:autoSpaceDN w:val="0"/>
        <w:adjustRightInd w:val="0"/>
      </w:pPr>
      <w:r>
        <w:t xml:space="preserve">The law requires that the assistance granted shall be in the form of a single lump sum payment to the veteran.  For the specially adapted housing grant the payment shall not exceed the sum of $15,000; for the special adaptation housing grant the payment shall not exceed the sum of $3,000. Therefore, payment will be made to the veteran immediately upon receipt of a certification from the U.S. Department of Veterans Affairs that final disbursement has been made under 38 USC 2102, as amended. </w:t>
      </w:r>
    </w:p>
    <w:p w:rsidR="006E65FC" w:rsidRDefault="006E65FC" w:rsidP="006E65FC">
      <w:pPr>
        <w:widowControl w:val="0"/>
        <w:autoSpaceDE w:val="0"/>
        <w:autoSpaceDN w:val="0"/>
        <w:adjustRightInd w:val="0"/>
      </w:pPr>
    </w:p>
    <w:p w:rsidR="006E65FC" w:rsidRDefault="006E65FC" w:rsidP="006E65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4280, effective March 13, 2001) </w:t>
      </w:r>
    </w:p>
    <w:sectPr w:rsidR="006E65FC" w:rsidSect="006E65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5FC"/>
    <w:rsid w:val="00331FFC"/>
    <w:rsid w:val="004E620A"/>
    <w:rsid w:val="006E65FC"/>
    <w:rsid w:val="00792E71"/>
    <w:rsid w:val="00D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