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81" w:rsidRDefault="00CE4A81" w:rsidP="00CE4A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A81" w:rsidRDefault="00CE4A81" w:rsidP="00CE4A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2100.62  Public Liability and Property Damage Coverage</w:t>
      </w:r>
      <w:r>
        <w:t xml:space="preserve"> </w:t>
      </w:r>
    </w:p>
    <w:p w:rsidR="00CE4A81" w:rsidRDefault="00CE4A81" w:rsidP="00CE4A81">
      <w:pPr>
        <w:widowControl w:val="0"/>
        <w:autoSpaceDE w:val="0"/>
        <w:autoSpaceDN w:val="0"/>
        <w:adjustRightInd w:val="0"/>
      </w:pPr>
    </w:p>
    <w:p w:rsidR="00CE4A81" w:rsidRDefault="00CE4A81" w:rsidP="00CE4A81">
      <w:pPr>
        <w:widowControl w:val="0"/>
        <w:autoSpaceDE w:val="0"/>
        <w:autoSpaceDN w:val="0"/>
        <w:adjustRightInd w:val="0"/>
      </w:pPr>
      <w:r>
        <w:t xml:space="preserve">The minimum amounts of public liability and property damage insurance coverage required of a motor carrier of passengers are as follows: </w:t>
      </w:r>
    </w:p>
    <w:p w:rsidR="00CE4A81" w:rsidRDefault="00CE4A81" w:rsidP="00CE4A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Liability for injury or death: </w:t>
      </w:r>
    </w:p>
    <w:p w:rsidR="00CE4A81" w:rsidRDefault="00CE4A81" w:rsidP="00CE4A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$1,000,000 if the manufacturer's rated seating capacity of the vehicle is 10 to 13 persons, including the driver; </w:t>
      </w:r>
    </w:p>
    <w:p w:rsidR="00CE4A81" w:rsidRDefault="00CE4A81" w:rsidP="00CE4A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$1,500,000 if the capacity is 13 to 20; </w:t>
      </w:r>
    </w:p>
    <w:p w:rsidR="00CE4A81" w:rsidRDefault="00CE4A81" w:rsidP="00CE4A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$2,000,000 if the capacity is 21 to 30; and </w:t>
      </w:r>
    </w:p>
    <w:p w:rsidR="00CE4A81" w:rsidRDefault="00CE4A81" w:rsidP="00CE4A8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$3,000,000 if the capacity is greater than 30. </w:t>
      </w:r>
    </w:p>
    <w:p w:rsidR="00CE4A81" w:rsidRDefault="00CE4A81" w:rsidP="00CE4A8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Capacity ratings do not include the driver for (2)-(4). </w:t>
      </w:r>
    </w:p>
    <w:p w:rsidR="00CE4A81" w:rsidRDefault="00CE4A81" w:rsidP="00CE4A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Liability for property damage.  $100,000 liability for damage in any one accident to property not carried in the vehicle. </w:t>
      </w:r>
    </w:p>
    <w:p w:rsidR="00CE4A81" w:rsidRDefault="00CE4A81" w:rsidP="00CE4A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Liability for cargo damage.  $500 liability for damage in any one accident to each piece of baggage and each article or package carried in the vehicle. </w:t>
      </w:r>
    </w:p>
    <w:sectPr w:rsidR="00CE4A81" w:rsidSect="00CE4A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A81"/>
    <w:rsid w:val="0025726A"/>
    <w:rsid w:val="004E620A"/>
    <w:rsid w:val="00BC10D6"/>
    <w:rsid w:val="00CE4A81"/>
    <w:rsid w:val="00E3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