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A8" w:rsidRDefault="00B839A8" w:rsidP="00B839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9A8" w:rsidRDefault="00B839A8" w:rsidP="00B839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2100.60  Licenses Conditioned Upon Compliance With Insurance Requirements</w:t>
      </w:r>
      <w:r>
        <w:t xml:space="preserve"> </w:t>
      </w:r>
    </w:p>
    <w:p w:rsidR="00B839A8" w:rsidRDefault="00B839A8" w:rsidP="00B839A8">
      <w:pPr>
        <w:widowControl w:val="0"/>
        <w:autoSpaceDE w:val="0"/>
        <w:autoSpaceDN w:val="0"/>
        <w:adjustRightInd w:val="0"/>
      </w:pPr>
    </w:p>
    <w:p w:rsidR="00B839A8" w:rsidRDefault="00B839A8" w:rsidP="00B839A8">
      <w:pPr>
        <w:widowControl w:val="0"/>
        <w:autoSpaceDE w:val="0"/>
        <w:autoSpaceDN w:val="0"/>
        <w:adjustRightInd w:val="0"/>
      </w:pPr>
      <w:r>
        <w:t xml:space="preserve">A license issued by the Commission to a motor carrier of passengers has force and effect only while the carrier is in compliance with requirements for the filing of proof of insurance or bond coverage. </w:t>
      </w:r>
    </w:p>
    <w:sectPr w:rsidR="00B839A8" w:rsidSect="00B839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9A8"/>
    <w:rsid w:val="002D4B91"/>
    <w:rsid w:val="004E620A"/>
    <w:rsid w:val="00A723CF"/>
    <w:rsid w:val="00B839A8"/>
    <w:rsid w:val="00C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2100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