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C6" w:rsidRDefault="00315AC6" w:rsidP="00FD09E9">
      <w:bookmarkStart w:id="0" w:name="_GoBack"/>
      <w:bookmarkEnd w:id="0"/>
    </w:p>
    <w:p w:rsidR="00A53407" w:rsidRPr="00FD09E9" w:rsidRDefault="00A53407" w:rsidP="00FD09E9">
      <w:pPr>
        <w:rPr>
          <w:b/>
        </w:rPr>
      </w:pPr>
      <w:r w:rsidRPr="00FD09E9">
        <w:rPr>
          <w:b/>
        </w:rPr>
        <w:t>Section 1480.300  Storage of Non-Collateral Property</w:t>
      </w:r>
    </w:p>
    <w:p w:rsidR="00A53407" w:rsidRDefault="00A53407" w:rsidP="00FD09E9"/>
    <w:p w:rsidR="00A53407" w:rsidRDefault="00A53407" w:rsidP="00FD09E9">
      <w:r>
        <w:t xml:space="preserve">Any personal effects or other property not covered by a security agreement in possession of a repossession agency as a result of a repossession shall be stored in a secure manner at a main office or a branch office with a secured storage facility.  </w:t>
      </w:r>
    </w:p>
    <w:sectPr w:rsidR="00A534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FA" w:rsidRDefault="00F02EFA">
      <w:r>
        <w:separator/>
      </w:r>
    </w:p>
  </w:endnote>
  <w:endnote w:type="continuationSeparator" w:id="0">
    <w:p w:rsidR="00F02EFA" w:rsidRDefault="00F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FA" w:rsidRDefault="00F02EFA">
      <w:r>
        <w:separator/>
      </w:r>
    </w:p>
  </w:footnote>
  <w:footnote w:type="continuationSeparator" w:id="0">
    <w:p w:rsidR="00F02EFA" w:rsidRDefault="00F0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6B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1EA7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1C5A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6B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068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15AC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486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173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407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EF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09E9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53407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A53407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