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EC" w:rsidRDefault="00DD04EC" w:rsidP="00DD04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4EC" w:rsidRDefault="00DD04EC" w:rsidP="00DD04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1457.1120  Required Exhibits</w:t>
      </w:r>
      <w:r>
        <w:t xml:space="preserve"> </w:t>
      </w:r>
    </w:p>
    <w:p w:rsidR="00DD04EC" w:rsidRDefault="00DD04EC" w:rsidP="00DD04EC">
      <w:pPr>
        <w:widowControl w:val="0"/>
        <w:autoSpaceDE w:val="0"/>
        <w:autoSpaceDN w:val="0"/>
        <w:adjustRightInd w:val="0"/>
      </w:pPr>
    </w:p>
    <w:p w:rsidR="00DD04EC" w:rsidRDefault="00DD04EC" w:rsidP="00DD04EC">
      <w:pPr>
        <w:widowControl w:val="0"/>
        <w:autoSpaceDE w:val="0"/>
        <w:autoSpaceDN w:val="0"/>
        <w:adjustRightInd w:val="0"/>
      </w:pPr>
      <w:r>
        <w:t xml:space="preserve">There shall be filed with each application the following exhibits: </w:t>
      </w:r>
    </w:p>
    <w:p w:rsidR="00DD04EC" w:rsidRDefault="00DD04EC" w:rsidP="00DD04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copy of the collective ratemaking agreement. </w:t>
      </w:r>
    </w:p>
    <w:p w:rsidR="00DD04EC" w:rsidRDefault="00DD04EC" w:rsidP="00DD04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the constitution, bylaws, or other documents or writings, specifying the organization's powers, duties, and procedures, unless incorporated in the tariff bureau agreement itself. </w:t>
      </w:r>
    </w:p>
    <w:sectPr w:rsidR="00DD04EC" w:rsidSect="00DD04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4EC"/>
    <w:rsid w:val="00066841"/>
    <w:rsid w:val="004E620A"/>
    <w:rsid w:val="00946171"/>
    <w:rsid w:val="00B44AEB"/>
    <w:rsid w:val="00D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