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90" w:rsidRDefault="00AC4C90" w:rsidP="00AC4C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4C90" w:rsidRDefault="00AC4C90" w:rsidP="00AC4C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1225.1500  Tariffs Listing Carriers' Operating Authority Applicable to Motor Carriers of Property</w:t>
      </w:r>
      <w:r>
        <w:t xml:space="preserve"> </w:t>
      </w:r>
    </w:p>
    <w:p w:rsidR="00AC4C90" w:rsidRDefault="00AC4C90" w:rsidP="00AC4C90">
      <w:pPr>
        <w:widowControl w:val="0"/>
        <w:autoSpaceDE w:val="0"/>
        <w:autoSpaceDN w:val="0"/>
        <w:adjustRightInd w:val="0"/>
      </w:pPr>
    </w:p>
    <w:p w:rsidR="00AC4C90" w:rsidRDefault="00AC4C90" w:rsidP="00AC4C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separate tariff containing a description of carriers' operating authorities (a "scope" tariff) may be filed.  A scope tariff shall contain a statement explaining that the application of rates and provisions in tariffs governed by it is limited to the extent of the carrier's operating authority published in the scope tariff. </w:t>
      </w:r>
    </w:p>
    <w:p w:rsidR="00C71EFE" w:rsidRDefault="00C71EFE" w:rsidP="00AC4C90">
      <w:pPr>
        <w:widowControl w:val="0"/>
        <w:autoSpaceDE w:val="0"/>
        <w:autoSpaceDN w:val="0"/>
        <w:adjustRightInd w:val="0"/>
        <w:ind w:left="1440" w:hanging="720"/>
      </w:pPr>
    </w:p>
    <w:p w:rsidR="00AC4C90" w:rsidRDefault="00AC4C90" w:rsidP="00AC4C9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3C58B5">
        <w:t>A</w:t>
      </w:r>
      <w:r>
        <w:t xml:space="preserve"> description of the carrier's operating authority may not be used as a substitute for describing commodities or territories for rate application. </w:t>
      </w:r>
    </w:p>
    <w:p w:rsidR="00C71EFE" w:rsidRDefault="00C71EFE" w:rsidP="00AC4C90">
      <w:pPr>
        <w:widowControl w:val="0"/>
        <w:autoSpaceDE w:val="0"/>
        <w:autoSpaceDN w:val="0"/>
        <w:adjustRightInd w:val="0"/>
        <w:ind w:left="1440" w:hanging="720"/>
      </w:pPr>
    </w:p>
    <w:p w:rsidR="00AC4C90" w:rsidRDefault="00AC4C90" w:rsidP="00AC4C9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rate tariffs are governed by more than one scope tariff, each scope tariff shall be referred to in the rate tariff as a governing publication. </w:t>
      </w:r>
    </w:p>
    <w:p w:rsidR="00C71EFE" w:rsidRDefault="00C71EFE" w:rsidP="00AC4C90">
      <w:pPr>
        <w:widowControl w:val="0"/>
        <w:autoSpaceDE w:val="0"/>
        <w:autoSpaceDN w:val="0"/>
        <w:adjustRightInd w:val="0"/>
        <w:ind w:left="1440" w:hanging="720"/>
      </w:pPr>
    </w:p>
    <w:p w:rsidR="00AC4C90" w:rsidRDefault="00AC4C90" w:rsidP="00AC4C9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scope tariff may be combined with a participating carrier tariff, a rate basis tariff, and/or a rules tariff. </w:t>
      </w:r>
    </w:p>
    <w:p w:rsidR="00C71EFE" w:rsidRDefault="00C71EFE" w:rsidP="00AC4C90">
      <w:pPr>
        <w:widowControl w:val="0"/>
        <w:autoSpaceDE w:val="0"/>
        <w:autoSpaceDN w:val="0"/>
        <w:adjustRightInd w:val="0"/>
        <w:ind w:left="1440" w:hanging="720"/>
      </w:pPr>
    </w:p>
    <w:p w:rsidR="00AC4C90" w:rsidRDefault="00AC4C90" w:rsidP="00AC4C9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scope tariff shall contain the certificated name of the carrier, the motor carrier number as assigned by the Commission, and the complete operating authority as granted by the Commission. </w:t>
      </w:r>
    </w:p>
    <w:sectPr w:rsidR="00AC4C90" w:rsidSect="00AC4C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4C90"/>
    <w:rsid w:val="003C58B5"/>
    <w:rsid w:val="004E620A"/>
    <w:rsid w:val="009A34E2"/>
    <w:rsid w:val="00AC4C90"/>
    <w:rsid w:val="00C71EFE"/>
    <w:rsid w:val="00D92E42"/>
    <w:rsid w:val="00F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