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19" w:rsidRDefault="00D31019" w:rsidP="00D31019">
      <w:pPr>
        <w:widowControl w:val="0"/>
        <w:autoSpaceDE w:val="0"/>
        <w:autoSpaceDN w:val="0"/>
        <w:adjustRightInd w:val="0"/>
      </w:pPr>
      <w:bookmarkStart w:id="0" w:name="_GoBack"/>
      <w:bookmarkEnd w:id="0"/>
    </w:p>
    <w:p w:rsidR="00D31019" w:rsidRDefault="00D31019" w:rsidP="00D31019">
      <w:pPr>
        <w:widowControl w:val="0"/>
        <w:autoSpaceDE w:val="0"/>
        <w:autoSpaceDN w:val="0"/>
        <w:adjustRightInd w:val="0"/>
      </w:pPr>
      <w:r>
        <w:rPr>
          <w:b/>
          <w:bCs/>
        </w:rPr>
        <w:t>Section 1225.1265  Exemption from Volume Restrictions</w:t>
      </w:r>
      <w:r>
        <w:t xml:space="preserve"> </w:t>
      </w:r>
    </w:p>
    <w:p w:rsidR="00D31019" w:rsidRDefault="00D31019" w:rsidP="00D31019">
      <w:pPr>
        <w:widowControl w:val="0"/>
        <w:autoSpaceDE w:val="0"/>
        <w:autoSpaceDN w:val="0"/>
        <w:adjustRightInd w:val="0"/>
      </w:pPr>
    </w:p>
    <w:p w:rsidR="00D31019" w:rsidRDefault="00D31019" w:rsidP="00D31019">
      <w:pPr>
        <w:widowControl w:val="0"/>
        <w:autoSpaceDE w:val="0"/>
        <w:autoSpaceDN w:val="0"/>
        <w:adjustRightInd w:val="0"/>
      </w:pPr>
      <w:r>
        <w:t xml:space="preserve">Tariff amendments required or permitted to be filed and matter held in force under the authority of this Subpart are, for the life of the tariff, exempt from the provisions of Section 1225.920 pertaining to the volume of effective supplements or loose-leaf page amendments. </w:t>
      </w:r>
    </w:p>
    <w:sectPr w:rsidR="00D31019" w:rsidSect="00D310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1019"/>
    <w:rsid w:val="002B31E5"/>
    <w:rsid w:val="004E620A"/>
    <w:rsid w:val="005B44A2"/>
    <w:rsid w:val="00AA3A79"/>
    <w:rsid w:val="00D31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