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2A" w:rsidRDefault="00F5092A" w:rsidP="00F5092A">
      <w:pPr>
        <w:widowControl w:val="0"/>
        <w:autoSpaceDE w:val="0"/>
        <w:autoSpaceDN w:val="0"/>
        <w:adjustRightInd w:val="0"/>
      </w:pPr>
      <w:bookmarkStart w:id="0" w:name="_GoBack"/>
      <w:bookmarkEnd w:id="0"/>
    </w:p>
    <w:p w:rsidR="00F5092A" w:rsidRDefault="00F5092A" w:rsidP="00F5092A">
      <w:pPr>
        <w:widowControl w:val="0"/>
        <w:autoSpaceDE w:val="0"/>
        <w:autoSpaceDN w:val="0"/>
        <w:adjustRightInd w:val="0"/>
      </w:pPr>
      <w:r>
        <w:rPr>
          <w:b/>
          <w:bCs/>
        </w:rPr>
        <w:t>Section 1225.1230  Suspended Matter Reissued Prior to Notice</w:t>
      </w:r>
      <w:r>
        <w:t xml:space="preserve"> </w:t>
      </w:r>
    </w:p>
    <w:p w:rsidR="00F5092A" w:rsidRDefault="00F5092A" w:rsidP="00F5092A">
      <w:pPr>
        <w:widowControl w:val="0"/>
        <w:autoSpaceDE w:val="0"/>
        <w:autoSpaceDN w:val="0"/>
        <w:adjustRightInd w:val="0"/>
      </w:pPr>
    </w:p>
    <w:p w:rsidR="00F5092A" w:rsidRDefault="00F5092A" w:rsidP="00F5092A">
      <w:pPr>
        <w:widowControl w:val="0"/>
        <w:autoSpaceDE w:val="0"/>
        <w:autoSpaceDN w:val="0"/>
        <w:adjustRightInd w:val="0"/>
      </w:pPr>
      <w:r>
        <w:t xml:space="preserve">If suspended matter has been reissued prior to the filing of the explanatory notice, the notice shall cancel (by statement) the reissued matter.  The cancellation statement shall have the same effective date as the reissued matter. </w:t>
      </w:r>
    </w:p>
    <w:sectPr w:rsidR="00F5092A" w:rsidSect="00F509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92A"/>
    <w:rsid w:val="004915DF"/>
    <w:rsid w:val="004E620A"/>
    <w:rsid w:val="00755943"/>
    <w:rsid w:val="00C75CB0"/>
    <w:rsid w:val="00F5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