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4C" w:rsidRDefault="00541C4C" w:rsidP="00541C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1C4C" w:rsidRDefault="00541C4C" w:rsidP="00541C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1225.1200  Effect of Suspension</w:t>
      </w:r>
      <w:r>
        <w:t xml:space="preserve"> </w:t>
      </w:r>
    </w:p>
    <w:p w:rsidR="00541C4C" w:rsidRDefault="00541C4C" w:rsidP="00541C4C">
      <w:pPr>
        <w:widowControl w:val="0"/>
        <w:autoSpaceDE w:val="0"/>
        <w:autoSpaceDN w:val="0"/>
        <w:adjustRightInd w:val="0"/>
      </w:pPr>
    </w:p>
    <w:p w:rsidR="00541C4C" w:rsidRDefault="00541C4C" w:rsidP="00541C4C">
      <w:pPr>
        <w:widowControl w:val="0"/>
        <w:autoSpaceDE w:val="0"/>
        <w:autoSpaceDN w:val="0"/>
        <w:adjustRightInd w:val="0"/>
      </w:pPr>
      <w:r>
        <w:t>When the Commission suspends one or more rate(s), provision(s) or publication(s) as provided in Section 18c-3204(2) of the Law (Ill. Rev. Stat. 1985, ch. 95</w:t>
      </w:r>
      <w:r w:rsidR="00BD7861">
        <w:t>½</w:t>
      </w:r>
      <w:r>
        <w:t xml:space="preserve">, par. 18c-3204)(2)), that suspended matter is postponed until the suspension period runs out. </w:t>
      </w:r>
    </w:p>
    <w:sectPr w:rsidR="00541C4C" w:rsidSect="00541C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1C4C"/>
    <w:rsid w:val="004E620A"/>
    <w:rsid w:val="0050642A"/>
    <w:rsid w:val="00541C4C"/>
    <w:rsid w:val="00BD7861"/>
    <w:rsid w:val="00DE6464"/>
    <w:rsid w:val="00F1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