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46" w:rsidRDefault="00E91D46" w:rsidP="00E91D46">
      <w:pPr>
        <w:widowControl w:val="0"/>
        <w:autoSpaceDE w:val="0"/>
        <w:autoSpaceDN w:val="0"/>
        <w:adjustRightInd w:val="0"/>
      </w:pPr>
      <w:bookmarkStart w:id="0" w:name="_GoBack"/>
      <w:bookmarkEnd w:id="0"/>
    </w:p>
    <w:p w:rsidR="00E91D46" w:rsidRDefault="00E91D46" w:rsidP="00E91D46">
      <w:pPr>
        <w:widowControl w:val="0"/>
        <w:autoSpaceDE w:val="0"/>
        <w:autoSpaceDN w:val="0"/>
        <w:adjustRightInd w:val="0"/>
      </w:pPr>
      <w:r>
        <w:rPr>
          <w:b/>
          <w:bCs/>
        </w:rPr>
        <w:t>Section 1225.1110  When Adoption Notice Only is Required</w:t>
      </w:r>
      <w:r>
        <w:t xml:space="preserve"> </w:t>
      </w:r>
    </w:p>
    <w:p w:rsidR="00E91D46" w:rsidRDefault="00E91D46" w:rsidP="00E91D46">
      <w:pPr>
        <w:widowControl w:val="0"/>
        <w:autoSpaceDE w:val="0"/>
        <w:autoSpaceDN w:val="0"/>
        <w:adjustRightInd w:val="0"/>
      </w:pPr>
    </w:p>
    <w:p w:rsidR="00E91D46" w:rsidRDefault="00E91D46" w:rsidP="00E91D46">
      <w:pPr>
        <w:widowControl w:val="0"/>
        <w:autoSpaceDE w:val="0"/>
        <w:autoSpaceDN w:val="0"/>
        <w:adjustRightInd w:val="0"/>
      </w:pPr>
      <w:r>
        <w:t xml:space="preserve">The new carrier shall file an adoption notice, in its own name and in tariff form, if the old carrier has no effective tariffs of its own (or predecessor's) issue to be adopted, but does have rates or other provisions in an agent's or another carrier's tariff(s) to be adopted. </w:t>
      </w:r>
    </w:p>
    <w:sectPr w:rsidR="00E91D46" w:rsidSect="00E91D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1D46"/>
    <w:rsid w:val="004E620A"/>
    <w:rsid w:val="00BE3D6C"/>
    <w:rsid w:val="00CF5D78"/>
    <w:rsid w:val="00E91D46"/>
    <w:rsid w:val="00EB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