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063" w:rsidRDefault="00BC2063" w:rsidP="00BC2063">
      <w:pPr>
        <w:widowControl w:val="0"/>
        <w:autoSpaceDE w:val="0"/>
        <w:autoSpaceDN w:val="0"/>
        <w:adjustRightInd w:val="0"/>
      </w:pPr>
      <w:bookmarkStart w:id="0" w:name="_GoBack"/>
      <w:bookmarkEnd w:id="0"/>
    </w:p>
    <w:p w:rsidR="00BC2063" w:rsidRDefault="00BC2063" w:rsidP="00BC2063">
      <w:pPr>
        <w:widowControl w:val="0"/>
        <w:autoSpaceDE w:val="0"/>
        <w:autoSpaceDN w:val="0"/>
        <w:adjustRightInd w:val="0"/>
      </w:pPr>
      <w:r>
        <w:rPr>
          <w:b/>
          <w:bCs/>
        </w:rPr>
        <w:t>Section 1225.550  Tank-line Gauge Books and Equipment Register</w:t>
      </w:r>
      <w:r>
        <w:t xml:space="preserve"> </w:t>
      </w:r>
    </w:p>
    <w:p w:rsidR="00BC2063" w:rsidRDefault="00BC2063" w:rsidP="00BC2063">
      <w:pPr>
        <w:widowControl w:val="0"/>
        <w:autoSpaceDE w:val="0"/>
        <w:autoSpaceDN w:val="0"/>
        <w:adjustRightInd w:val="0"/>
      </w:pPr>
    </w:p>
    <w:p w:rsidR="00BC2063" w:rsidRDefault="00BC2063" w:rsidP="00BC2063">
      <w:pPr>
        <w:widowControl w:val="0"/>
        <w:autoSpaceDE w:val="0"/>
        <w:autoSpaceDN w:val="0"/>
        <w:adjustRightInd w:val="0"/>
        <w:ind w:left="1440" w:hanging="720"/>
      </w:pPr>
      <w:r>
        <w:t>a)</w:t>
      </w:r>
      <w:r>
        <w:tab/>
        <w:t xml:space="preserve">When rates are published with minimum weights dependent upon, for example, the length of the car used, or the marked cubical or gallon capacity of the car used, that measurement or mark becomes an integral part of the rate, and, with respect to such cars, carriers shall file tariffs showing the numbers, dimensions, capacities, and ownership of freight cars. </w:t>
      </w:r>
    </w:p>
    <w:p w:rsidR="0041010E" w:rsidRDefault="0041010E" w:rsidP="00BC2063">
      <w:pPr>
        <w:widowControl w:val="0"/>
        <w:autoSpaceDE w:val="0"/>
        <w:autoSpaceDN w:val="0"/>
        <w:adjustRightInd w:val="0"/>
        <w:ind w:left="1440" w:hanging="720"/>
      </w:pPr>
    </w:p>
    <w:p w:rsidR="00BC2063" w:rsidRDefault="00BC2063" w:rsidP="00BC2063">
      <w:pPr>
        <w:widowControl w:val="0"/>
        <w:autoSpaceDE w:val="0"/>
        <w:autoSpaceDN w:val="0"/>
        <w:adjustRightInd w:val="0"/>
        <w:ind w:left="1440" w:hanging="720"/>
      </w:pPr>
      <w:r>
        <w:t>b)</w:t>
      </w:r>
      <w:r>
        <w:tab/>
        <w:t xml:space="preserve">The information may be published in separate publications and be filed by authorized agents. </w:t>
      </w:r>
    </w:p>
    <w:p w:rsidR="0041010E" w:rsidRDefault="0041010E" w:rsidP="00BC2063">
      <w:pPr>
        <w:widowControl w:val="0"/>
        <w:autoSpaceDE w:val="0"/>
        <w:autoSpaceDN w:val="0"/>
        <w:adjustRightInd w:val="0"/>
        <w:ind w:left="1440" w:hanging="720"/>
      </w:pPr>
    </w:p>
    <w:p w:rsidR="00BC2063" w:rsidRDefault="00BC2063" w:rsidP="00BC2063">
      <w:pPr>
        <w:widowControl w:val="0"/>
        <w:autoSpaceDE w:val="0"/>
        <w:autoSpaceDN w:val="0"/>
        <w:adjustRightInd w:val="0"/>
        <w:ind w:left="1440" w:hanging="720"/>
      </w:pPr>
      <w:r>
        <w:t>c)</w:t>
      </w:r>
      <w:r>
        <w:tab/>
        <w:t xml:space="preserve">Successive issues and amendments may be made effective on 1 day's notice. </w:t>
      </w:r>
    </w:p>
    <w:sectPr w:rsidR="00BC2063" w:rsidSect="00BC20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2063"/>
    <w:rsid w:val="0041010E"/>
    <w:rsid w:val="004E620A"/>
    <w:rsid w:val="009C257E"/>
    <w:rsid w:val="00A702F1"/>
    <w:rsid w:val="00B05A1D"/>
    <w:rsid w:val="00BC2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