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E" w:rsidRDefault="00B06C0E" w:rsidP="00B06C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6C0E" w:rsidRDefault="00B06C0E" w:rsidP="00B06C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1225.510  Class Rates</w:t>
      </w:r>
      <w:r>
        <w:t xml:space="preserve"> </w:t>
      </w:r>
    </w:p>
    <w:p w:rsidR="00B06C0E" w:rsidRDefault="00B06C0E" w:rsidP="00B06C0E">
      <w:pPr>
        <w:widowControl w:val="0"/>
        <w:autoSpaceDE w:val="0"/>
        <w:autoSpaceDN w:val="0"/>
        <w:adjustRightInd w:val="0"/>
      </w:pPr>
    </w:p>
    <w:p w:rsidR="00B06C0E" w:rsidRDefault="00B06C0E" w:rsidP="00B06C0E">
      <w:pPr>
        <w:widowControl w:val="0"/>
        <w:autoSpaceDE w:val="0"/>
        <w:autoSpaceDN w:val="0"/>
        <w:adjustRightInd w:val="0"/>
      </w:pPr>
      <w:r>
        <w:t xml:space="preserve">Class rate tariffs shall provide a rate for class ratings shown in the classification or exceptions tariff exception class rates for certain classes may be omitted provided there is a statement that the next lower class or the next higher class (not both) for which rates are published shall be used. </w:t>
      </w:r>
    </w:p>
    <w:sectPr w:rsidR="00B06C0E" w:rsidSect="00B06C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6C0E"/>
    <w:rsid w:val="00223B91"/>
    <w:rsid w:val="004E620A"/>
    <w:rsid w:val="006F43FA"/>
    <w:rsid w:val="00B06C0E"/>
    <w:rsid w:val="00B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