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203" w:rsidRDefault="00B35203" w:rsidP="00B35203">
      <w:pPr>
        <w:widowControl w:val="0"/>
        <w:autoSpaceDE w:val="0"/>
        <w:autoSpaceDN w:val="0"/>
        <w:adjustRightInd w:val="0"/>
      </w:pPr>
      <w:bookmarkStart w:id="0" w:name="_GoBack"/>
      <w:bookmarkEnd w:id="0"/>
    </w:p>
    <w:p w:rsidR="00B35203" w:rsidRDefault="00B35203" w:rsidP="00B35203">
      <w:pPr>
        <w:widowControl w:val="0"/>
        <w:autoSpaceDE w:val="0"/>
        <w:autoSpaceDN w:val="0"/>
        <w:adjustRightInd w:val="0"/>
      </w:pPr>
      <w:r>
        <w:rPr>
          <w:b/>
          <w:bCs/>
        </w:rPr>
        <w:t>Section 1225.270  Cancellation of Instruments</w:t>
      </w:r>
      <w:r>
        <w:t xml:space="preserve"> </w:t>
      </w:r>
    </w:p>
    <w:p w:rsidR="00B35203" w:rsidRDefault="00B35203" w:rsidP="00B35203">
      <w:pPr>
        <w:widowControl w:val="0"/>
        <w:autoSpaceDE w:val="0"/>
        <w:autoSpaceDN w:val="0"/>
        <w:adjustRightInd w:val="0"/>
      </w:pPr>
    </w:p>
    <w:p w:rsidR="00B35203" w:rsidRDefault="00B35203" w:rsidP="00B35203">
      <w:pPr>
        <w:widowControl w:val="0"/>
        <w:autoSpaceDE w:val="0"/>
        <w:autoSpaceDN w:val="0"/>
        <w:adjustRightInd w:val="0"/>
        <w:ind w:left="1440" w:hanging="720"/>
      </w:pPr>
      <w:r>
        <w:t>a)</w:t>
      </w:r>
      <w:r>
        <w:tab/>
        <w:t xml:space="preserve">A power of attorney may cancel another power of attorney if both the old and new are issued in favor of the same agent or if it is filed under circumstances set forth in Section 1225.250. </w:t>
      </w:r>
    </w:p>
    <w:p w:rsidR="003A6867" w:rsidRDefault="003A6867" w:rsidP="00B35203">
      <w:pPr>
        <w:widowControl w:val="0"/>
        <w:autoSpaceDE w:val="0"/>
        <w:autoSpaceDN w:val="0"/>
        <w:adjustRightInd w:val="0"/>
        <w:ind w:left="1440" w:hanging="720"/>
      </w:pPr>
    </w:p>
    <w:p w:rsidR="00B35203" w:rsidRDefault="00B35203" w:rsidP="00B35203">
      <w:pPr>
        <w:widowControl w:val="0"/>
        <w:autoSpaceDE w:val="0"/>
        <w:autoSpaceDN w:val="0"/>
        <w:adjustRightInd w:val="0"/>
        <w:ind w:left="1440" w:hanging="720"/>
      </w:pPr>
      <w:r>
        <w:t>b)</w:t>
      </w:r>
      <w:r>
        <w:tab/>
        <w:t xml:space="preserve">A concurrence may cancel another concurrence if both the old and new are issued in favor of the same carrier. </w:t>
      </w:r>
    </w:p>
    <w:p w:rsidR="003A6867" w:rsidRDefault="003A6867" w:rsidP="00B35203">
      <w:pPr>
        <w:widowControl w:val="0"/>
        <w:autoSpaceDE w:val="0"/>
        <w:autoSpaceDN w:val="0"/>
        <w:adjustRightInd w:val="0"/>
        <w:ind w:left="1440" w:hanging="720"/>
      </w:pPr>
    </w:p>
    <w:p w:rsidR="00B35203" w:rsidRDefault="00B35203" w:rsidP="00B35203">
      <w:pPr>
        <w:widowControl w:val="0"/>
        <w:autoSpaceDE w:val="0"/>
        <w:autoSpaceDN w:val="0"/>
        <w:adjustRightInd w:val="0"/>
        <w:ind w:left="1440" w:hanging="720"/>
      </w:pPr>
      <w:r>
        <w:t>c)</w:t>
      </w:r>
      <w:r>
        <w:tab/>
        <w:t xml:space="preserve">In every case both the old and new instruments must be issued by the same carrier, except that the old may be one acquired from a certificated predecessor carrier. </w:t>
      </w:r>
    </w:p>
    <w:p w:rsidR="003A6867" w:rsidRDefault="003A6867" w:rsidP="00B35203">
      <w:pPr>
        <w:widowControl w:val="0"/>
        <w:autoSpaceDE w:val="0"/>
        <w:autoSpaceDN w:val="0"/>
        <w:adjustRightInd w:val="0"/>
        <w:ind w:left="1440" w:hanging="720"/>
      </w:pPr>
    </w:p>
    <w:p w:rsidR="00B35203" w:rsidRDefault="00B35203" w:rsidP="00B35203">
      <w:pPr>
        <w:widowControl w:val="0"/>
        <w:autoSpaceDE w:val="0"/>
        <w:autoSpaceDN w:val="0"/>
        <w:adjustRightInd w:val="0"/>
        <w:ind w:left="1440" w:hanging="720"/>
      </w:pPr>
      <w:r>
        <w:t>d)</w:t>
      </w:r>
      <w:r>
        <w:tab/>
        <w:t xml:space="preserve">A power of attorney may not cancel a concurrence, nor may a concurrence cancel a power of attorney, but one form of power of attorney may cancel a different form of power of attorney and one form of concurrence may cancel a different form of concurrence, but care must be taken in any case that the correct form number is inserted in the cancellation notice space.  Under all other circumstances, power of attorney and concurrences must be revoked as set forth in Section 1225.275. </w:t>
      </w:r>
    </w:p>
    <w:p w:rsidR="003A6867" w:rsidRDefault="003A6867" w:rsidP="00B35203">
      <w:pPr>
        <w:widowControl w:val="0"/>
        <w:autoSpaceDE w:val="0"/>
        <w:autoSpaceDN w:val="0"/>
        <w:adjustRightInd w:val="0"/>
        <w:ind w:left="1440" w:hanging="720"/>
      </w:pPr>
    </w:p>
    <w:p w:rsidR="00B35203" w:rsidRDefault="00B35203" w:rsidP="00B35203">
      <w:pPr>
        <w:widowControl w:val="0"/>
        <w:autoSpaceDE w:val="0"/>
        <w:autoSpaceDN w:val="0"/>
        <w:adjustRightInd w:val="0"/>
        <w:ind w:left="1440" w:hanging="720"/>
      </w:pPr>
      <w:r>
        <w:t>e)</w:t>
      </w:r>
      <w:r>
        <w:tab/>
        <w:t xml:space="preserve">If the instrument to be canceled contains more authority or is broader in scope than the new instrument, the new instrument must bear an effective date of at least 60 days after the date on which it is received by the Commission.  Otherwise, no notice is required. </w:t>
      </w:r>
    </w:p>
    <w:sectPr w:rsidR="00B35203" w:rsidSect="00B352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5203"/>
    <w:rsid w:val="000475C7"/>
    <w:rsid w:val="003A6867"/>
    <w:rsid w:val="004E620A"/>
    <w:rsid w:val="008B7584"/>
    <w:rsid w:val="009D6DB4"/>
    <w:rsid w:val="00B3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