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BE" w:rsidRPr="00481ABE" w:rsidRDefault="00481ABE" w:rsidP="00481A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481ABE">
        <w:t>CHAPTER II:  SECRETARY OF STATE</w:t>
      </w:r>
    </w:p>
    <w:sectPr w:rsidR="00481ABE" w:rsidRPr="00481AB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BE" w:rsidRDefault="00481ABE">
      <w:r>
        <w:separator/>
      </w:r>
    </w:p>
  </w:endnote>
  <w:endnote w:type="continuationSeparator" w:id="0">
    <w:p w:rsidR="00481ABE" w:rsidRDefault="0048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BE" w:rsidRDefault="00481ABE">
      <w:r>
        <w:separator/>
      </w:r>
    </w:p>
  </w:footnote>
  <w:footnote w:type="continuationSeparator" w:id="0">
    <w:p w:rsidR="00481ABE" w:rsidRDefault="00481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B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AB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0FE7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650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307B4-E97B-4664-B97E-9E4579F0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2013-08-26T19:33:00Z</dcterms:created>
  <dcterms:modified xsi:type="dcterms:W3CDTF">2013-08-26T20:15:00Z</dcterms:modified>
</cp:coreProperties>
</file>