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5E" w:rsidRDefault="004D575E" w:rsidP="004D57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75E" w:rsidRDefault="004D575E" w:rsidP="004D575E">
      <w:pPr>
        <w:widowControl w:val="0"/>
        <w:autoSpaceDE w:val="0"/>
        <w:autoSpaceDN w:val="0"/>
        <w:adjustRightInd w:val="0"/>
      </w:pPr>
      <w:r>
        <w:t xml:space="preserve">AUTHORITY:  Implementing Chapter 4 and authorized by Section 4-109(h) of the Illinois Anti-Theft and Abandoned Vehicles Law of the Illinois Vehicle Code [625 </w:t>
      </w:r>
      <w:proofErr w:type="spellStart"/>
      <w:r>
        <w:t>ILCS</w:t>
      </w:r>
      <w:proofErr w:type="spellEnd"/>
      <w:r>
        <w:t xml:space="preserve"> 5/Ch. 4 and 4-109(h)]. </w:t>
      </w:r>
    </w:p>
    <w:sectPr w:rsidR="004D575E" w:rsidSect="004D57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75E"/>
    <w:rsid w:val="004D575E"/>
    <w:rsid w:val="004E620A"/>
    <w:rsid w:val="009F1004"/>
    <w:rsid w:val="00AF18FD"/>
    <w:rsid w:val="00B2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Chapter 4 and authorized by Section 4-109(h) of the Illinois Anti-Theft and Abandoned Vehicles Law of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Chapter 4 and authorized by Section 4-109(h) of the Illinois Anti-Theft and Abandoned Vehicles Law of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