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E9" w:rsidRDefault="000D64E9" w:rsidP="000D64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64E9" w:rsidRDefault="000D64E9" w:rsidP="000D64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1003.60  Bankruptcy Discharge of Fees</w:t>
      </w:r>
      <w:r>
        <w:t xml:space="preserve"> </w:t>
      </w:r>
    </w:p>
    <w:p w:rsidR="000D64E9" w:rsidRDefault="000D64E9" w:rsidP="000D64E9">
      <w:pPr>
        <w:widowControl w:val="0"/>
        <w:autoSpaceDE w:val="0"/>
        <w:autoSpaceDN w:val="0"/>
        <w:adjustRightInd w:val="0"/>
      </w:pPr>
    </w:p>
    <w:p w:rsidR="000D64E9" w:rsidRDefault="000D64E9" w:rsidP="000D64E9">
      <w:pPr>
        <w:widowControl w:val="0"/>
        <w:autoSpaceDE w:val="0"/>
        <w:autoSpaceDN w:val="0"/>
        <w:adjustRightInd w:val="0"/>
      </w:pPr>
      <w:r>
        <w:t xml:space="preserve">The truck license fees imposed pursuant to Article VIII of Chapter 3 of the Act are taxes and within the purview of </w:t>
      </w:r>
      <w:r w:rsidR="00DB4244">
        <w:t>section</w:t>
      </w:r>
      <w:r>
        <w:t xml:space="preserve"> 507(a)(</w:t>
      </w:r>
      <w:r w:rsidR="00DB4244">
        <w:t>8)(E) and 523</w:t>
      </w:r>
      <w:r>
        <w:t>(a)(1)(A) of the Bankruptcy Code (</w:t>
      </w:r>
      <w:r w:rsidR="002B3BC5">
        <w:t xml:space="preserve">11 </w:t>
      </w:r>
      <w:r w:rsidR="00DB4244">
        <w:t>USC 507</w:t>
      </w:r>
      <w:r>
        <w:t>(a)(</w:t>
      </w:r>
      <w:r w:rsidR="0006274E">
        <w:t>8</w:t>
      </w:r>
      <w:r>
        <w:t>)(E</w:t>
      </w:r>
      <w:r w:rsidR="00DB4244">
        <w:t>) and 523</w:t>
      </w:r>
      <w:r>
        <w:t xml:space="preserve">(a)(1)(A)) and are not dischargeable in bankruptcy, and the provisions of Section 1003.30 shall apply to the collection of the alleged debtor's debt to the Secretary. </w:t>
      </w:r>
    </w:p>
    <w:p w:rsidR="0006274E" w:rsidRDefault="0006274E" w:rsidP="000D64E9">
      <w:pPr>
        <w:widowControl w:val="0"/>
        <w:autoSpaceDE w:val="0"/>
        <w:autoSpaceDN w:val="0"/>
        <w:adjustRightInd w:val="0"/>
      </w:pPr>
    </w:p>
    <w:p w:rsidR="0006274E" w:rsidRPr="00D55B37" w:rsidRDefault="0006274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756643">
        <w:t>10199</w:t>
      </w:r>
      <w:r w:rsidRPr="00D55B37">
        <w:t xml:space="preserve">, effective </w:t>
      </w:r>
      <w:r w:rsidR="00756643">
        <w:t>June 29, 2010</w:t>
      </w:r>
      <w:r w:rsidRPr="00D55B37">
        <w:t>)</w:t>
      </w:r>
    </w:p>
    <w:sectPr w:rsidR="0006274E" w:rsidRPr="00D55B37" w:rsidSect="000D64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64E9"/>
    <w:rsid w:val="0006274E"/>
    <w:rsid w:val="000B4F15"/>
    <w:rsid w:val="000D64E9"/>
    <w:rsid w:val="00101B66"/>
    <w:rsid w:val="001C127E"/>
    <w:rsid w:val="002B3BC5"/>
    <w:rsid w:val="006514E0"/>
    <w:rsid w:val="00756643"/>
    <w:rsid w:val="00DA643A"/>
    <w:rsid w:val="00DB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62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62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1003</vt:lpstr>
    </vt:vector>
  </TitlesOfParts>
  <Company>State of Illinois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1003</dc:title>
  <dc:subject/>
  <dc:creator>Illinois General Assembly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