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3F" w:rsidRDefault="00A97C3F" w:rsidP="00A97C3F">
      <w:pPr>
        <w:widowControl w:val="0"/>
        <w:autoSpaceDE w:val="0"/>
        <w:autoSpaceDN w:val="0"/>
        <w:adjustRightInd w:val="0"/>
      </w:pPr>
    </w:p>
    <w:p w:rsidR="00A97C3F" w:rsidRDefault="00A97C3F" w:rsidP="00A97C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554.705  Disabled Vehicles</w:t>
      </w:r>
      <w:r>
        <w:t xml:space="preserve"> </w:t>
      </w:r>
    </w:p>
    <w:p w:rsidR="00A97C3F" w:rsidRDefault="00A97C3F" w:rsidP="00A97C3F">
      <w:pPr>
        <w:widowControl w:val="0"/>
        <w:autoSpaceDE w:val="0"/>
        <w:autoSpaceDN w:val="0"/>
        <w:adjustRightInd w:val="0"/>
      </w:pPr>
    </w:p>
    <w:p w:rsidR="00A97C3F" w:rsidRDefault="00A97C3F" w:rsidP="00A97C3F">
      <w:pPr>
        <w:widowControl w:val="0"/>
        <w:autoSpaceDE w:val="0"/>
        <w:autoSpaceDN w:val="0"/>
        <w:adjustRightInd w:val="0"/>
      </w:pPr>
      <w:r>
        <w:t xml:space="preserve">A combination of vehicles, including a tow truck and a disabled vehicle or disabled combination of vehicles, which exceeds the legal length and/or weight limits may be operated on a highway under the following conditions (See Sections 15-107 and 15-111 of the </w:t>
      </w:r>
      <w:r w:rsidR="00A24F53">
        <w:t>Code</w:t>
      </w:r>
      <w:r>
        <w:t xml:space="preserve">): </w:t>
      </w:r>
    </w:p>
    <w:p w:rsidR="00DB4BBF" w:rsidRDefault="00DB4BBF" w:rsidP="00A97C3F">
      <w:pPr>
        <w:widowControl w:val="0"/>
        <w:autoSpaceDE w:val="0"/>
        <w:autoSpaceDN w:val="0"/>
        <w:adjustRightInd w:val="0"/>
      </w:pPr>
    </w:p>
    <w:p w:rsidR="00A97C3F" w:rsidRDefault="00A97C3F" w:rsidP="00A377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Prior to towing, neither the disabled vehicle, disabled combination of vehicles, nor the tow truck shall individually exceed the legal length or weight limits.</w:t>
      </w:r>
      <w:r w:rsidR="000A216C">
        <w:t xml:space="preserve">  </w:t>
      </w:r>
      <w:r>
        <w:t>When overweight</w:t>
      </w:r>
      <w:r w:rsidR="00055D3C">
        <w:t>,</w:t>
      </w:r>
      <w:r>
        <w:t xml:space="preserve"> the towing shall not exceed a distance of </w:t>
      </w:r>
      <w:r w:rsidR="00DB4BBF">
        <w:t>20</w:t>
      </w:r>
      <w:r>
        <w:t xml:space="preserve"> miles from the initial point of wreck or disablement provided neither the tow truck nor the vehicle being towed shall exceed the following axle weight limits</w:t>
      </w:r>
      <w:r w:rsidR="00A24F53">
        <w:t xml:space="preserve"> as prescribed by Section 15-301(n) of the Code</w:t>
      </w:r>
      <w:r>
        <w:t xml:space="preserve">:   </w:t>
      </w:r>
    </w:p>
    <w:p w:rsidR="00157A82" w:rsidRDefault="00157A82" w:rsidP="00A97C3F">
      <w:pPr>
        <w:widowControl w:val="0"/>
        <w:autoSpaceDE w:val="0"/>
        <w:autoSpaceDN w:val="0"/>
        <w:adjustRightInd w:val="0"/>
        <w:ind w:left="2160" w:hanging="720"/>
      </w:pPr>
    </w:p>
    <w:p w:rsidR="00A97C3F" w:rsidRDefault="00A97C3F" w:rsidP="00A97C3F">
      <w:pPr>
        <w:widowControl w:val="0"/>
        <w:autoSpaceDE w:val="0"/>
        <w:autoSpaceDN w:val="0"/>
        <w:adjustRightInd w:val="0"/>
        <w:ind w:left="2880" w:hanging="720"/>
      </w:pPr>
      <w:r>
        <w:t xml:space="preserve">Single rear axle </w:t>
      </w:r>
      <w:r w:rsidR="00157A82">
        <w:t>–</w:t>
      </w:r>
      <w:r>
        <w:t xml:space="preserve"> </w:t>
      </w:r>
      <w:r w:rsidR="00A24F53">
        <w:t>26,000</w:t>
      </w:r>
      <w:r>
        <w:t xml:space="preserve"> pounds </w:t>
      </w:r>
    </w:p>
    <w:p w:rsidR="00134D1D" w:rsidRDefault="00134D1D" w:rsidP="00A97C3F">
      <w:pPr>
        <w:widowControl w:val="0"/>
        <w:autoSpaceDE w:val="0"/>
        <w:autoSpaceDN w:val="0"/>
        <w:adjustRightInd w:val="0"/>
        <w:ind w:left="2880" w:hanging="720"/>
      </w:pPr>
    </w:p>
    <w:p w:rsidR="00A24F53" w:rsidRDefault="00A24F53" w:rsidP="00A97C3F">
      <w:pPr>
        <w:widowControl w:val="0"/>
        <w:autoSpaceDE w:val="0"/>
        <w:autoSpaceDN w:val="0"/>
        <w:adjustRightInd w:val="0"/>
        <w:ind w:left="2880" w:hanging="720"/>
      </w:pPr>
      <w:r>
        <w:t xml:space="preserve">2-axle rear tandem </w:t>
      </w:r>
      <w:r w:rsidR="00A97C3F">
        <w:t xml:space="preserve">rear axle </w:t>
      </w:r>
      <w:r w:rsidR="00157A82">
        <w:t>–</w:t>
      </w:r>
      <w:r w:rsidR="00A97C3F">
        <w:t xml:space="preserve"> </w:t>
      </w:r>
      <w:r>
        <w:t>50,000</w:t>
      </w:r>
      <w:r w:rsidR="00A97C3F">
        <w:t xml:space="preserve"> pounds</w:t>
      </w:r>
    </w:p>
    <w:p w:rsidR="00A24F53" w:rsidRDefault="00A24F53" w:rsidP="00A97C3F">
      <w:pPr>
        <w:widowControl w:val="0"/>
        <w:autoSpaceDE w:val="0"/>
        <w:autoSpaceDN w:val="0"/>
        <w:adjustRightInd w:val="0"/>
        <w:ind w:left="2880" w:hanging="720"/>
      </w:pPr>
    </w:p>
    <w:p w:rsidR="00A97C3F" w:rsidRDefault="00A24F53" w:rsidP="00A97C3F">
      <w:pPr>
        <w:widowControl w:val="0"/>
        <w:autoSpaceDE w:val="0"/>
        <w:autoSpaceDN w:val="0"/>
        <w:adjustRightInd w:val="0"/>
        <w:ind w:left="2880" w:hanging="720"/>
      </w:pPr>
      <w:r>
        <w:t>3-axle rear tandem rear axle − 60,000 pounds</w:t>
      </w:r>
      <w:r w:rsidR="00A97C3F">
        <w:t xml:space="preserve"> </w:t>
      </w:r>
    </w:p>
    <w:p w:rsidR="00157A82" w:rsidRDefault="00157A82" w:rsidP="00A97C3F">
      <w:pPr>
        <w:widowControl w:val="0"/>
        <w:autoSpaceDE w:val="0"/>
        <w:autoSpaceDN w:val="0"/>
        <w:adjustRightInd w:val="0"/>
        <w:ind w:left="2880" w:hanging="720"/>
      </w:pPr>
    </w:p>
    <w:p w:rsidR="00A97C3F" w:rsidRDefault="00A97C3F" w:rsidP="00A97C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additional movement of </w:t>
      </w:r>
      <w:r w:rsidR="00C51BD7">
        <w:t>the disabled</w:t>
      </w:r>
      <w:r>
        <w:t xml:space="preserve"> vehicles shall be under normal permit procedures (Section 554.306).  Requests for the emergency movement of equipment when the Permit Office is closed </w:t>
      </w:r>
      <w:r w:rsidR="00C51BD7">
        <w:t>will</w:t>
      </w:r>
      <w:r>
        <w:t xml:space="preserve"> be considered under th</w:t>
      </w:r>
      <w:r w:rsidR="00157A82">
        <w:t>e</w:t>
      </w:r>
      <w:r>
        <w:t xml:space="preserve"> provisions of Section 554.801. </w:t>
      </w:r>
    </w:p>
    <w:p w:rsidR="00A97C3F" w:rsidRDefault="00A97C3F" w:rsidP="00A97C3F">
      <w:pPr>
        <w:widowControl w:val="0"/>
        <w:autoSpaceDE w:val="0"/>
        <w:autoSpaceDN w:val="0"/>
        <w:adjustRightInd w:val="0"/>
        <w:ind w:left="1440" w:hanging="720"/>
      </w:pPr>
    </w:p>
    <w:p w:rsidR="00A24F53" w:rsidRPr="00D55B37" w:rsidRDefault="00A24F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8627C">
        <w:t>13254</w:t>
      </w:r>
      <w:r w:rsidRPr="00D55B37">
        <w:t xml:space="preserve">, effective </w:t>
      </w:r>
      <w:bookmarkStart w:id="0" w:name="_GoBack"/>
      <w:r w:rsidR="0078627C">
        <w:t>August 1, 2012</w:t>
      </w:r>
      <w:bookmarkEnd w:id="0"/>
      <w:r w:rsidRPr="00D55B37">
        <w:t>)</w:t>
      </w:r>
    </w:p>
    <w:sectPr w:rsidR="00A24F53" w:rsidRPr="00D55B37" w:rsidSect="00A97C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C3F"/>
    <w:rsid w:val="0002411F"/>
    <w:rsid w:val="00055D3C"/>
    <w:rsid w:val="000A216C"/>
    <w:rsid w:val="00134D1D"/>
    <w:rsid w:val="00136BAD"/>
    <w:rsid w:val="00157A82"/>
    <w:rsid w:val="00301F23"/>
    <w:rsid w:val="00312EB7"/>
    <w:rsid w:val="00333598"/>
    <w:rsid w:val="00423D60"/>
    <w:rsid w:val="006514E0"/>
    <w:rsid w:val="0078627C"/>
    <w:rsid w:val="009617A3"/>
    <w:rsid w:val="00A03942"/>
    <w:rsid w:val="00A24F53"/>
    <w:rsid w:val="00A37795"/>
    <w:rsid w:val="00A97C3F"/>
    <w:rsid w:val="00B446C2"/>
    <w:rsid w:val="00C371E1"/>
    <w:rsid w:val="00C51BD7"/>
    <w:rsid w:val="00DB3B48"/>
    <w:rsid w:val="00DB4BBF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1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