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44" w:rsidRDefault="00464344" w:rsidP="004643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344" w:rsidRDefault="00464344" w:rsidP="004643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542.ILLUSTRATION</w:t>
      </w:r>
      <w:proofErr w:type="spellEnd"/>
      <w:r>
        <w:rPr>
          <w:b/>
          <w:bCs/>
        </w:rPr>
        <w:t xml:space="preserve"> G  Examples of Interstate Panels for Double-Exit Interchanges (Repealed)</w:t>
      </w:r>
      <w:r>
        <w:t xml:space="preserve"> </w:t>
      </w:r>
    </w:p>
    <w:p w:rsidR="00464344" w:rsidRDefault="00464344" w:rsidP="00464344">
      <w:pPr>
        <w:widowControl w:val="0"/>
        <w:autoSpaceDE w:val="0"/>
        <w:autoSpaceDN w:val="0"/>
        <w:adjustRightInd w:val="0"/>
      </w:pPr>
    </w:p>
    <w:p w:rsidR="00464344" w:rsidRDefault="00464344" w:rsidP="004643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12736, effective September 1, 2000) </w:t>
      </w:r>
    </w:p>
    <w:sectPr w:rsidR="00464344" w:rsidSect="00464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344"/>
    <w:rsid w:val="00464344"/>
    <w:rsid w:val="006514E0"/>
    <w:rsid w:val="007C2297"/>
    <w:rsid w:val="00CB2ED8"/>
    <w:rsid w:val="00F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