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5D" w:rsidRDefault="00CB0C5D" w:rsidP="00CB0C5D">
      <w:pPr>
        <w:widowControl w:val="0"/>
        <w:autoSpaceDE w:val="0"/>
        <w:autoSpaceDN w:val="0"/>
        <w:adjustRightInd w:val="0"/>
      </w:pPr>
      <w:bookmarkStart w:id="0" w:name="_GoBack"/>
      <w:bookmarkEnd w:id="0"/>
    </w:p>
    <w:p w:rsidR="00CB0C5D" w:rsidRDefault="00CB0C5D" w:rsidP="00CB0C5D">
      <w:pPr>
        <w:widowControl w:val="0"/>
        <w:autoSpaceDE w:val="0"/>
        <w:autoSpaceDN w:val="0"/>
        <w:adjustRightInd w:val="0"/>
      </w:pPr>
      <w:r>
        <w:rPr>
          <w:b/>
          <w:bCs/>
        </w:rPr>
        <w:t>Section 532.310  General</w:t>
      </w:r>
      <w:r>
        <w:t xml:space="preserve"> </w:t>
      </w:r>
    </w:p>
    <w:p w:rsidR="00CB0C5D" w:rsidRDefault="00CB0C5D" w:rsidP="00CB0C5D">
      <w:pPr>
        <w:widowControl w:val="0"/>
        <w:autoSpaceDE w:val="0"/>
        <w:autoSpaceDN w:val="0"/>
        <w:adjustRightInd w:val="0"/>
      </w:pPr>
    </w:p>
    <w:p w:rsidR="00CB0C5D" w:rsidRDefault="00CB0C5D" w:rsidP="00CB0C5D">
      <w:pPr>
        <w:widowControl w:val="0"/>
        <w:autoSpaceDE w:val="0"/>
        <w:autoSpaceDN w:val="0"/>
        <w:adjustRightInd w:val="0"/>
      </w:pPr>
      <w:r>
        <w:t xml:space="preserve">Mailbox turnouts are to be located adjacent to the right traffic lane in relation to the established direction of travel of the rural mail carrier. To the extent practical, mailbox turnouts should be located for the convenience of the postal patrons.  Mailbox turnouts should be located where a clear sight distance of 200 feet or more from both directions exists or can be provided. </w:t>
      </w:r>
    </w:p>
    <w:sectPr w:rsidR="00CB0C5D" w:rsidSect="00CB0C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0C5D"/>
    <w:rsid w:val="005E6C39"/>
    <w:rsid w:val="006514E0"/>
    <w:rsid w:val="00882BEC"/>
    <w:rsid w:val="00C875D9"/>
    <w:rsid w:val="00CB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532</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532</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