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29" w:rsidRDefault="006E1E29" w:rsidP="006E1E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1E29" w:rsidRDefault="006E1E29" w:rsidP="006E1E29">
      <w:pPr>
        <w:widowControl w:val="0"/>
        <w:autoSpaceDE w:val="0"/>
        <w:autoSpaceDN w:val="0"/>
        <w:adjustRightInd w:val="0"/>
        <w:jc w:val="center"/>
      </w:pPr>
      <w:r>
        <w:t>SUBPART I:  ADMINISTRATIVE REMEDIES</w:t>
      </w:r>
    </w:p>
    <w:sectPr w:rsidR="006E1E29" w:rsidSect="006E1E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1E29"/>
    <w:rsid w:val="001F02C3"/>
    <w:rsid w:val="003E32D5"/>
    <w:rsid w:val="00591270"/>
    <w:rsid w:val="006E1E29"/>
    <w:rsid w:val="007D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ADMINISTRATIVE REMEDIES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ADMINISTRATIVE REMEDIES</dc:title>
  <dc:subject/>
  <dc:creator>harling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