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AD" w:rsidRDefault="005002AD" w:rsidP="005002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d:  </w:t>
      </w:r>
      <w:r w:rsidR="00A8402F">
        <w:t>MOTOR CARRIER SAFETY REGULATIONS</w:t>
      </w:r>
    </w:p>
    <w:sectPr w:rsidR="005002AD" w:rsidSect="00500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2AD"/>
    <w:rsid w:val="0031502B"/>
    <w:rsid w:val="005002AD"/>
    <w:rsid w:val="005C3366"/>
    <w:rsid w:val="00620E95"/>
    <w:rsid w:val="00A8402F"/>
    <w:rsid w:val="00D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HAZARDOUS MATERIALS CIVIL MONEY PENALTY POLICY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HAZARDOUS MATERIALS CIVIL MONEY PENALTY POLICY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