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31" w:rsidRDefault="00926D31" w:rsidP="00926D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D31" w:rsidRDefault="00926D31" w:rsidP="00926D31">
      <w:pPr>
        <w:widowControl w:val="0"/>
        <w:autoSpaceDE w:val="0"/>
        <w:autoSpaceDN w:val="0"/>
        <w:adjustRightInd w:val="0"/>
      </w:pPr>
      <w:r>
        <w:t xml:space="preserve">AUTHORITY:  Implementing, and authorized by Sections 18b-102 and 18b-105 of, the Illinois Motor Carrier Safety Law [625 ILCS 5/Ch. 18B]. </w:t>
      </w:r>
    </w:p>
    <w:sectPr w:rsidR="00926D31" w:rsidSect="00926D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D31"/>
    <w:rsid w:val="005B0291"/>
    <w:rsid w:val="005C3366"/>
    <w:rsid w:val="00872CAB"/>
    <w:rsid w:val="00926D31"/>
    <w:rsid w:val="00E60CA1"/>
    <w:rsid w:val="00E8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Sections 18b-102 and 18b-105 of, the Illinois Motor Carrier Safety Law [625 ILCS 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Sections 18b-102 and 18b-105 of, the Illinois Motor Carrier Safety Law [625 ILCS 5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