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57" w:rsidRDefault="00B13F57" w:rsidP="00B13F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3F57" w:rsidRDefault="00B13F57" w:rsidP="00B13F57">
      <w:pPr>
        <w:widowControl w:val="0"/>
        <w:autoSpaceDE w:val="0"/>
        <w:autoSpaceDN w:val="0"/>
        <w:adjustRightInd w:val="0"/>
      </w:pPr>
      <w:r>
        <w:t xml:space="preserve">AUTHORITY:  Implementing Section 4(a) and authorized by Section 9(a) of the Illinois Hazardous Materials Transportation Act [430 ILCS 30/4(a) and 9(a)]. </w:t>
      </w:r>
    </w:p>
    <w:sectPr w:rsidR="00B13F57" w:rsidSect="00B13F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3F57"/>
    <w:rsid w:val="0003591E"/>
    <w:rsid w:val="00125CCB"/>
    <w:rsid w:val="00253CDA"/>
    <w:rsid w:val="005C3366"/>
    <w:rsid w:val="00B13F57"/>
    <w:rsid w:val="00F7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4(a) and authorized by Section 9(a) of the Illinois Hazardous Materials Transportation Act [4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4(a) and authorized by Section 9(a) of the Illinois Hazardous Materials Transportation Act [4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