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22" w:rsidRDefault="002B7322" w:rsidP="002B7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7322" w:rsidRDefault="002B7322" w:rsidP="002B7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171.21  Retailer Exception</w:t>
      </w:r>
      <w:r>
        <w:t xml:space="preserve"> </w:t>
      </w:r>
    </w:p>
    <w:p w:rsidR="002B7322" w:rsidRDefault="002B7322" w:rsidP="002B7322">
      <w:pPr>
        <w:widowControl w:val="0"/>
        <w:autoSpaceDE w:val="0"/>
        <w:autoSpaceDN w:val="0"/>
        <w:adjustRightInd w:val="0"/>
      </w:pPr>
    </w:p>
    <w:p w:rsidR="002B7322" w:rsidRDefault="002B7322" w:rsidP="002B7322">
      <w:pPr>
        <w:widowControl w:val="0"/>
        <w:autoSpaceDE w:val="0"/>
        <w:autoSpaceDN w:val="0"/>
        <w:adjustRightInd w:val="0"/>
      </w:pPr>
      <w:r>
        <w:t xml:space="preserve">AGENCY NOTE:  See 49 </w:t>
      </w:r>
      <w:proofErr w:type="spellStart"/>
      <w:r>
        <w:t>CFR</w:t>
      </w:r>
      <w:proofErr w:type="spellEnd"/>
      <w:r>
        <w:t xml:space="preserve"> 173.6 that is incorporated by reference at Section 173.3000 pertaining to Materials of Trade Exemption. </w:t>
      </w:r>
    </w:p>
    <w:p w:rsidR="002B7322" w:rsidRDefault="002B7322" w:rsidP="002B7322">
      <w:pPr>
        <w:widowControl w:val="0"/>
        <w:autoSpaceDE w:val="0"/>
        <w:autoSpaceDN w:val="0"/>
        <w:adjustRightInd w:val="0"/>
      </w:pPr>
    </w:p>
    <w:p w:rsidR="002B7322" w:rsidRDefault="002B7322" w:rsidP="002B73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5694, effective March 4, 1998) </w:t>
      </w:r>
    </w:p>
    <w:sectPr w:rsidR="002B7322" w:rsidSect="002B73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7322"/>
    <w:rsid w:val="002B7322"/>
    <w:rsid w:val="004E0B2A"/>
    <w:rsid w:val="005C3366"/>
    <w:rsid w:val="0069368F"/>
    <w:rsid w:val="00B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