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D" w:rsidRDefault="00512D2D" w:rsidP="005A1B99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5A1B99" w:rsidRPr="005A1B99" w:rsidRDefault="005A1B99" w:rsidP="005A1B99">
      <w:pPr>
        <w:widowControl w:val="0"/>
        <w:autoSpaceDE w:val="0"/>
        <w:autoSpaceDN w:val="0"/>
        <w:adjustRightInd w:val="0"/>
      </w:pPr>
      <w:r w:rsidRPr="005A1B99">
        <w:rPr>
          <w:b/>
        </w:rPr>
        <w:t>Section 1100.350  Fiscal and Monitoring</w:t>
      </w:r>
    </w:p>
    <w:p w:rsidR="005A1B99" w:rsidRPr="005A1B99" w:rsidRDefault="005A1B99" w:rsidP="005A1B99">
      <w:pPr>
        <w:widowControl w:val="0"/>
        <w:autoSpaceDE w:val="0"/>
        <w:autoSpaceDN w:val="0"/>
        <w:adjustRightInd w:val="0"/>
      </w:pPr>
    </w:p>
    <w:p w:rsidR="005A1B99" w:rsidRPr="005A1B99" w:rsidRDefault="005A1B99" w:rsidP="005A1B99">
      <w:pPr>
        <w:widowControl w:val="0"/>
        <w:autoSpaceDE w:val="0"/>
        <w:autoSpaceDN w:val="0"/>
        <w:adjustRightInd w:val="0"/>
      </w:pPr>
      <w:r w:rsidRPr="005A1B99">
        <w:t xml:space="preserve">The fiscal and monitoring provisions set forth in Subpart C apply to grants for special projects, unless otherwise provided in the Grant Agreement.  </w:t>
      </w:r>
    </w:p>
    <w:sectPr w:rsidR="005A1B99" w:rsidRPr="005A1B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20" w:rsidRDefault="00540D20">
      <w:r>
        <w:separator/>
      </w:r>
    </w:p>
  </w:endnote>
  <w:endnote w:type="continuationSeparator" w:id="0">
    <w:p w:rsidR="00540D20" w:rsidRDefault="0054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20" w:rsidRDefault="00540D20">
      <w:r>
        <w:separator/>
      </w:r>
    </w:p>
  </w:footnote>
  <w:footnote w:type="continuationSeparator" w:id="0">
    <w:p w:rsidR="00540D20" w:rsidRDefault="0054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1B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0B67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2AC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D2D"/>
    <w:rsid w:val="005161BF"/>
    <w:rsid w:val="0052308E"/>
    <w:rsid w:val="005232CE"/>
    <w:rsid w:val="005237D3"/>
    <w:rsid w:val="00526060"/>
    <w:rsid w:val="00530BE1"/>
    <w:rsid w:val="00531849"/>
    <w:rsid w:val="005341A0"/>
    <w:rsid w:val="00540D2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B99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621D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