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B5" w:rsidRDefault="000C39B5" w:rsidP="005368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16C32" w:rsidRDefault="00B16C32" w:rsidP="00B16C3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FISCAL </w:t>
      </w:r>
      <w:smartTag w:uri="urn:schemas-microsoft-com:office:smarttags" w:element="stockticker">
        <w:r>
          <w:t>AND</w:t>
        </w:r>
      </w:smartTag>
      <w:r>
        <w:t xml:space="preserve"> MONITORING REQUIREMENTS</w:t>
      </w:r>
    </w:p>
    <w:sectPr w:rsidR="00B16C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E7" w:rsidRDefault="00A562E7">
      <w:r>
        <w:separator/>
      </w:r>
    </w:p>
  </w:endnote>
  <w:endnote w:type="continuationSeparator" w:id="0">
    <w:p w:rsidR="00A562E7" w:rsidRDefault="00A5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E7" w:rsidRDefault="00A562E7">
      <w:r>
        <w:separator/>
      </w:r>
    </w:p>
  </w:footnote>
  <w:footnote w:type="continuationSeparator" w:id="0">
    <w:p w:rsidR="00A562E7" w:rsidRDefault="00A5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8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9B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8A3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29C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425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2E7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C32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35F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63E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C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