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3" w:rsidRDefault="00F85903" w:rsidP="00A1079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1079E" w:rsidRPr="00A1079E" w:rsidRDefault="00A1079E" w:rsidP="00A1079E">
      <w:pPr>
        <w:widowControl w:val="0"/>
        <w:autoSpaceDE w:val="0"/>
        <w:autoSpaceDN w:val="0"/>
        <w:adjustRightInd w:val="0"/>
      </w:pPr>
      <w:r w:rsidRPr="00A1079E">
        <w:rPr>
          <w:b/>
          <w:bCs/>
        </w:rPr>
        <w:t>Section 1100.50  Funding Priorities</w:t>
      </w:r>
    </w:p>
    <w:p w:rsidR="00A1079E" w:rsidRPr="00A1079E" w:rsidRDefault="00A1079E" w:rsidP="00A1079E">
      <w:pPr>
        <w:widowControl w:val="0"/>
        <w:autoSpaceDE w:val="0"/>
        <w:autoSpaceDN w:val="0"/>
        <w:adjustRightInd w:val="0"/>
      </w:pP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1440" w:hanging="720"/>
      </w:pPr>
      <w:r w:rsidRPr="00A1079E">
        <w:t>a)</w:t>
      </w:r>
      <w:r w:rsidRPr="00A1079E">
        <w:tab/>
        <w:t>The Administrator shall consider the following factors in determining whether and how much to fund a given applicant:</w:t>
      </w: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  <w:r w:rsidRPr="00A1079E">
        <w:t>1)</w:t>
      </w:r>
      <w:r w:rsidRPr="00A1079E">
        <w:tab/>
        <w:t>The extent to which a program implements the recommended services set forth in Sections 1100.100, 1100.110, 1100.120, 1100.122, 1100.124 and/or 1100.130;</w:t>
      </w: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992" w:hanging="748"/>
      </w:pP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  <w:r w:rsidRPr="00A1079E">
        <w:t>2)</w:t>
      </w:r>
      <w:r w:rsidRPr="00A1079E">
        <w:tab/>
        <w:t>The extent to which the applicant's stated goals are consistent with the delivery of services enumerated in Section 8 of the Violent Crime Victims Assistance Act;</w:t>
      </w: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  <w:r w:rsidRPr="00A1079E">
        <w:t>3)</w:t>
      </w:r>
      <w:r w:rsidRPr="00A1079E">
        <w:tab/>
        <w:t>The commitment and ability to provide the services for which funding is sought.  Evidence of commitment and ability includes: programmatic expertise (i.e., qualifications, training, including in-service training for staff and volunteers, and experience of agency staff)</w:t>
      </w:r>
      <w:r w:rsidR="00955C94">
        <w:t>,</w:t>
      </w:r>
      <w:r w:rsidRPr="00A1079E">
        <w:t xml:space="preserve"> level of resources available to the program and past grant compliance;</w:t>
      </w: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  <w:r w:rsidRPr="00A1079E">
        <w:t>4)</w:t>
      </w:r>
      <w:r w:rsidRPr="00A1079E">
        <w:tab/>
        <w:t xml:space="preserve">The number of people served, types of services provided and needs of the community as described in the grant application; </w:t>
      </w: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  <w:r w:rsidRPr="00A1079E">
        <w:t>5)</w:t>
      </w:r>
      <w:r w:rsidRPr="00A1079E">
        <w:tab/>
        <w:t xml:space="preserve">Evidence of community support exhibited by the grant application; </w:t>
      </w: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  <w:r w:rsidRPr="00A1079E">
        <w:t>6)</w:t>
      </w:r>
      <w:r w:rsidRPr="00A1079E">
        <w:tab/>
        <w:t>The organizational structure of the agency;</w:t>
      </w: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  <w:r w:rsidRPr="00A1079E">
        <w:t>7)</w:t>
      </w:r>
      <w:r w:rsidRPr="00A1079E">
        <w:tab/>
        <w:t>The extent to which the applicant proposes to maximize the use of volunteers and student interns;</w:t>
      </w: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</w:p>
    <w:p w:rsidR="00A1079E" w:rsidRPr="00A1079E" w:rsidRDefault="00A1079E" w:rsidP="00A1079E">
      <w:pPr>
        <w:widowControl w:val="0"/>
        <w:autoSpaceDE w:val="0"/>
        <w:autoSpaceDN w:val="0"/>
        <w:adjustRightInd w:val="0"/>
        <w:ind w:left="2160" w:hanging="720"/>
      </w:pPr>
      <w:r w:rsidRPr="00A1079E">
        <w:t>8)</w:t>
      </w:r>
      <w:r w:rsidRPr="00A1079E">
        <w:tab/>
        <w:t>The applicant's history of compliance with reporting, accounting and other requirements pertaining to grants awarded under this Part or under any other governmental program.</w:t>
      </w:r>
    </w:p>
    <w:p w:rsidR="00A1079E" w:rsidRPr="00F85903" w:rsidRDefault="00A1079E" w:rsidP="00F85903">
      <w:pPr>
        <w:ind w:left="720"/>
      </w:pPr>
    </w:p>
    <w:p w:rsidR="00A1079E" w:rsidRPr="00F85903" w:rsidRDefault="00F85903" w:rsidP="00F85903">
      <w:pPr>
        <w:ind w:left="1440" w:hanging="720"/>
      </w:pPr>
      <w:r>
        <w:t>b)</w:t>
      </w:r>
      <w:r>
        <w:tab/>
      </w:r>
      <w:r w:rsidR="00A1079E" w:rsidRPr="00F85903">
        <w:t>The Administrator shall compare and contrast the applicants' proposed programs to determine which applicants in a given geographic area are best able to maximize the number of victims and witnesses served and the types of services available to victims and witnesses.</w:t>
      </w:r>
    </w:p>
    <w:p w:rsidR="00A1079E" w:rsidRPr="00F85903" w:rsidRDefault="00A1079E" w:rsidP="00F85903">
      <w:pPr>
        <w:ind w:left="720"/>
      </w:pPr>
    </w:p>
    <w:p w:rsidR="00A1079E" w:rsidRPr="00F85903" w:rsidRDefault="00F85903" w:rsidP="00F85903">
      <w:pPr>
        <w:ind w:left="1440" w:hanging="720"/>
      </w:pPr>
      <w:r>
        <w:t>c)</w:t>
      </w:r>
      <w:r>
        <w:tab/>
      </w:r>
      <w:r w:rsidR="00A1079E" w:rsidRPr="00F85903">
        <w:t xml:space="preserve">The Administrator shall select applicants so as to maximize the number of victims and witnesses served and the types of services available to victims and witnesses statewide, as well as </w:t>
      </w:r>
      <w:r w:rsidR="00955C94">
        <w:t xml:space="preserve">to </w:t>
      </w:r>
      <w:r w:rsidR="00A1079E" w:rsidRPr="00F85903">
        <w:t>provid</w:t>
      </w:r>
      <w:r w:rsidR="00955C94">
        <w:t>e</w:t>
      </w:r>
      <w:r w:rsidR="00A1079E" w:rsidRPr="00F85903">
        <w:t xml:space="preserve"> opportunities for specialized services and training.</w:t>
      </w:r>
    </w:p>
    <w:p w:rsidR="00A1079E" w:rsidRPr="00F85903" w:rsidRDefault="00A1079E" w:rsidP="00F85903">
      <w:pPr>
        <w:ind w:left="720"/>
      </w:pPr>
    </w:p>
    <w:p w:rsidR="00A1079E" w:rsidRPr="00F85903" w:rsidRDefault="00F85903" w:rsidP="00F85903">
      <w:pPr>
        <w:ind w:left="1440" w:hanging="720"/>
      </w:pPr>
      <w:r>
        <w:t>d)</w:t>
      </w:r>
      <w:r>
        <w:tab/>
      </w:r>
      <w:r w:rsidR="00A1079E" w:rsidRPr="00F85903">
        <w:t xml:space="preserve">Grants will be made for a term of one year corresponding to the State's fiscal </w:t>
      </w:r>
      <w:r w:rsidR="00955C94">
        <w:t>y</w:t>
      </w:r>
      <w:r w:rsidR="00A1079E" w:rsidRPr="00F85903">
        <w:t>ear, unless the Administrator determines that a shorter term is appropriate.</w:t>
      </w:r>
    </w:p>
    <w:sectPr w:rsidR="00A1079E" w:rsidRPr="00F859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6E" w:rsidRDefault="00C35C6E">
      <w:r>
        <w:separator/>
      </w:r>
    </w:p>
  </w:endnote>
  <w:endnote w:type="continuationSeparator" w:id="0">
    <w:p w:rsidR="00C35C6E" w:rsidRDefault="00C3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6E" w:rsidRDefault="00C35C6E">
      <w:r>
        <w:separator/>
      </w:r>
    </w:p>
  </w:footnote>
  <w:footnote w:type="continuationSeparator" w:id="0">
    <w:p w:rsidR="00C35C6E" w:rsidRDefault="00C3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0B4F"/>
    <w:multiLevelType w:val="hybridMultilevel"/>
    <w:tmpl w:val="77CEB67A"/>
    <w:lvl w:ilvl="0" w:tplc="9A9AA00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79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00B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94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A4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C9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079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C6E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B55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90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