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75A" w:rsidRDefault="00D0075A" w:rsidP="00D007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075A" w:rsidRDefault="00D0075A" w:rsidP="00D0075A">
      <w:pPr>
        <w:widowControl w:val="0"/>
        <w:autoSpaceDE w:val="0"/>
        <w:autoSpaceDN w:val="0"/>
        <w:adjustRightInd w:val="0"/>
        <w:jc w:val="center"/>
      </w:pPr>
      <w:r>
        <w:t>PART 507</w:t>
      </w:r>
    </w:p>
    <w:p w:rsidR="00D0075A" w:rsidRDefault="00D0075A" w:rsidP="00D0075A">
      <w:pPr>
        <w:widowControl w:val="0"/>
        <w:autoSpaceDE w:val="0"/>
        <w:autoSpaceDN w:val="0"/>
        <w:adjustRightInd w:val="0"/>
        <w:jc w:val="center"/>
      </w:pPr>
      <w:r>
        <w:t>AUDIT REQUIREMENTS OF DHS</w:t>
      </w:r>
    </w:p>
    <w:sectPr w:rsidR="00D0075A" w:rsidSect="00D007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075A"/>
    <w:rsid w:val="002D7C44"/>
    <w:rsid w:val="003A51CB"/>
    <w:rsid w:val="005C3366"/>
    <w:rsid w:val="00AC7B90"/>
    <w:rsid w:val="00D0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507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507</dc:title>
  <dc:subject/>
  <dc:creator>Illinois General Assembly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