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EE" w:rsidRDefault="00C45CEE" w:rsidP="00AC4129"/>
    <w:p w:rsidR="000174EB" w:rsidRPr="00AC4129" w:rsidRDefault="00127A9A" w:rsidP="00AC4129">
      <w:pPr>
        <w:rPr>
          <w:b/>
        </w:rPr>
      </w:pPr>
      <w:r w:rsidRPr="00AC4129">
        <w:rPr>
          <w:b/>
        </w:rPr>
        <w:t>Section 501.440  Grantee Accountability</w:t>
      </w:r>
    </w:p>
    <w:p w:rsidR="00127A9A" w:rsidRDefault="00127A9A" w:rsidP="00AC4129"/>
    <w:p w:rsidR="00127A9A" w:rsidRDefault="00127A9A" w:rsidP="00AC4129">
      <w:pPr>
        <w:ind w:firstLine="720"/>
      </w:pPr>
      <w:r>
        <w:t>a)</w:t>
      </w:r>
      <w:r>
        <w:tab/>
        <w:t>Grant Agreement</w:t>
      </w:r>
    </w:p>
    <w:p w:rsidR="00127A9A" w:rsidRDefault="00127A9A" w:rsidP="00AC4129">
      <w:pPr>
        <w:ind w:left="1440"/>
      </w:pPr>
      <w:r>
        <w:t>Grant recipients shall enter into a grant agreement with the Department expressing the grantee's assent to abide by the provisions of this Part, other Department rules, and any applicable State and federal statutes and regulations.</w:t>
      </w:r>
    </w:p>
    <w:p w:rsidR="00127A9A" w:rsidRDefault="00127A9A" w:rsidP="00AC4129"/>
    <w:p w:rsidR="00127A9A" w:rsidRDefault="00127A9A" w:rsidP="00AC4129">
      <w:pPr>
        <w:ind w:firstLine="720"/>
      </w:pPr>
      <w:r>
        <w:t>b)</w:t>
      </w:r>
      <w:r>
        <w:tab/>
        <w:t>Reports and Audits</w:t>
      </w:r>
    </w:p>
    <w:p w:rsidR="00127A9A" w:rsidRDefault="00127A9A" w:rsidP="00AC4129"/>
    <w:p w:rsidR="00127A9A" w:rsidRDefault="00127A9A" w:rsidP="00AC4129">
      <w:pPr>
        <w:ind w:left="720" w:firstLine="720"/>
      </w:pPr>
      <w:r>
        <w:t>1)</w:t>
      </w:r>
      <w:r>
        <w:tab/>
        <w:t>General Requirements</w:t>
      </w:r>
    </w:p>
    <w:p w:rsidR="00127A9A" w:rsidRDefault="00127A9A" w:rsidP="00AC4129">
      <w:pPr>
        <w:ind w:left="2160"/>
      </w:pPr>
      <w:r>
        <w:t>Grantees shall abide by the financial reporting and record keeping, audit standards and grant requirements of the Department outlined at 89 Ill. Adm. Code 507, 509 and 511.</w:t>
      </w:r>
    </w:p>
    <w:p w:rsidR="00127A9A" w:rsidRDefault="00127A9A" w:rsidP="00AC4129"/>
    <w:p w:rsidR="00127A9A" w:rsidRDefault="00127A9A" w:rsidP="00AC4129">
      <w:pPr>
        <w:ind w:left="720" w:firstLine="720"/>
      </w:pPr>
      <w:r>
        <w:t>2)</w:t>
      </w:r>
      <w:r>
        <w:tab/>
        <w:t>Quarterly Reports</w:t>
      </w:r>
    </w:p>
    <w:p w:rsidR="00127A9A" w:rsidRPr="00127A9A" w:rsidRDefault="00127A9A" w:rsidP="00AC4129">
      <w:pPr>
        <w:ind w:left="2160"/>
      </w:pPr>
      <w:r>
        <w:t xml:space="preserve">Actual expenditures for the purchase of goods and services shall be </w:t>
      </w:r>
      <w:bookmarkStart w:id="0" w:name="_GoBack"/>
      <w:bookmarkEnd w:id="0"/>
      <w:r>
        <w:t>documented quarterly using the Department's Summary Expenditure Documentation Form.</w:t>
      </w:r>
    </w:p>
    <w:sectPr w:rsidR="00127A9A" w:rsidRPr="00127A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D3" w:rsidRDefault="00F028D3">
      <w:r>
        <w:separator/>
      </w:r>
    </w:p>
  </w:endnote>
  <w:endnote w:type="continuationSeparator" w:id="0">
    <w:p w:rsidR="00F028D3" w:rsidRDefault="00F0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D3" w:rsidRDefault="00F028D3">
      <w:r>
        <w:separator/>
      </w:r>
    </w:p>
  </w:footnote>
  <w:footnote w:type="continuationSeparator" w:id="0">
    <w:p w:rsidR="00F028D3" w:rsidRDefault="00F0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A9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129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CEE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8D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0762-C038-4D78-86A7-0B0C4E0B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588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6</cp:revision>
  <dcterms:created xsi:type="dcterms:W3CDTF">2014-06-16T20:52:00Z</dcterms:created>
  <dcterms:modified xsi:type="dcterms:W3CDTF">2014-12-01T21:01:00Z</dcterms:modified>
</cp:coreProperties>
</file>