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4C" w:rsidRDefault="00077C4C" w:rsidP="00077C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7C4C" w:rsidRDefault="00077C4C" w:rsidP="00077C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428.160  Quorum</w:t>
      </w:r>
      <w:r>
        <w:t xml:space="preserve"> </w:t>
      </w:r>
    </w:p>
    <w:p w:rsidR="00077C4C" w:rsidRDefault="00077C4C" w:rsidP="00077C4C">
      <w:pPr>
        <w:widowControl w:val="0"/>
        <w:autoSpaceDE w:val="0"/>
        <w:autoSpaceDN w:val="0"/>
        <w:adjustRightInd w:val="0"/>
      </w:pPr>
    </w:p>
    <w:p w:rsidR="00077C4C" w:rsidRDefault="00077C4C" w:rsidP="00077C4C">
      <w:pPr>
        <w:widowControl w:val="0"/>
        <w:autoSpaceDE w:val="0"/>
        <w:autoSpaceDN w:val="0"/>
        <w:adjustRightInd w:val="0"/>
      </w:pPr>
      <w:r>
        <w:t xml:space="preserve">A quorum at any regular or special meeting of an advisory group shall be necessary to transact business.  A majority of the advisory group members then holding office must be present at the initial roll call at the commencement of any regular or special meeting and they shall constitute a quorum.  The necessary quorum for conducting business of the advisory group shall be determined by a majority of each membership and included in the Rules of Procedure for each body.  For the purpose of election of officers, the necessary quorum shall be a majority of the duly appointed members. </w:t>
      </w:r>
    </w:p>
    <w:p w:rsidR="00077C4C" w:rsidRDefault="00077C4C" w:rsidP="00077C4C">
      <w:pPr>
        <w:widowControl w:val="0"/>
        <w:autoSpaceDE w:val="0"/>
        <w:autoSpaceDN w:val="0"/>
        <w:adjustRightInd w:val="0"/>
      </w:pPr>
    </w:p>
    <w:p w:rsidR="00077C4C" w:rsidRDefault="00077C4C" w:rsidP="00077C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15474, effective December 15, 1997) </w:t>
      </w:r>
    </w:p>
    <w:sectPr w:rsidR="00077C4C" w:rsidSect="00077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C4C"/>
    <w:rsid w:val="00077C4C"/>
    <w:rsid w:val="0044791B"/>
    <w:rsid w:val="005C3366"/>
    <w:rsid w:val="009D038A"/>
    <w:rsid w:val="00B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