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F4" w:rsidRDefault="00666DF4" w:rsidP="00666D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6DF4" w:rsidRDefault="00666DF4" w:rsidP="00666D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428.120  Organization</w:t>
      </w:r>
      <w:r>
        <w:t xml:space="preserve"> </w:t>
      </w:r>
    </w:p>
    <w:p w:rsidR="00666DF4" w:rsidRDefault="00666DF4" w:rsidP="00666DF4">
      <w:pPr>
        <w:widowControl w:val="0"/>
        <w:autoSpaceDE w:val="0"/>
        <w:autoSpaceDN w:val="0"/>
        <w:adjustRightInd w:val="0"/>
      </w:pPr>
    </w:p>
    <w:p w:rsidR="00666DF4" w:rsidRDefault="00666DF4" w:rsidP="00666DF4">
      <w:pPr>
        <w:widowControl w:val="0"/>
        <w:autoSpaceDE w:val="0"/>
        <w:autoSpaceDN w:val="0"/>
        <w:adjustRightInd w:val="0"/>
      </w:pPr>
      <w:r>
        <w:t xml:space="preserve">Each advisory group shall organize itself into committees and/or sub-committees for the purpose of carrying out the goals, objectives and strategies determined by the membership.  Inter-committee joint task forces may be formed to carry out specific tasks so assigned by the Director or so agreed upon by the respective memberships. </w:t>
      </w:r>
    </w:p>
    <w:p w:rsidR="00666DF4" w:rsidRDefault="00666DF4" w:rsidP="00666DF4">
      <w:pPr>
        <w:widowControl w:val="0"/>
        <w:autoSpaceDE w:val="0"/>
        <w:autoSpaceDN w:val="0"/>
        <w:adjustRightInd w:val="0"/>
      </w:pPr>
    </w:p>
    <w:p w:rsidR="00666DF4" w:rsidRDefault="00666DF4" w:rsidP="00666DF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15474, effective December 15, 1997) </w:t>
      </w:r>
    </w:p>
    <w:sectPr w:rsidR="00666DF4" w:rsidSect="00666D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6DF4"/>
    <w:rsid w:val="002D4261"/>
    <w:rsid w:val="00552D0B"/>
    <w:rsid w:val="005C3366"/>
    <w:rsid w:val="00666DF4"/>
    <w:rsid w:val="006B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428</vt:lpstr>
    </vt:vector>
  </TitlesOfParts>
  <Company>General Assembly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428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