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6E" w:rsidRDefault="00733B6E" w:rsidP="00733B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3B6E" w:rsidRDefault="00733B6E" w:rsidP="00733B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428.110  Rules of Procedure</w:t>
      </w:r>
      <w:r>
        <w:t xml:space="preserve"> </w:t>
      </w:r>
    </w:p>
    <w:p w:rsidR="00733B6E" w:rsidRDefault="00733B6E" w:rsidP="00733B6E">
      <w:pPr>
        <w:widowControl w:val="0"/>
        <w:autoSpaceDE w:val="0"/>
        <w:autoSpaceDN w:val="0"/>
        <w:adjustRightInd w:val="0"/>
      </w:pPr>
    </w:p>
    <w:p w:rsidR="00733B6E" w:rsidRDefault="00733B6E" w:rsidP="00733B6E">
      <w:pPr>
        <w:widowControl w:val="0"/>
        <w:autoSpaceDE w:val="0"/>
        <w:autoSpaceDN w:val="0"/>
        <w:adjustRightInd w:val="0"/>
      </w:pPr>
      <w:r>
        <w:t xml:space="preserve">Each advisory group shall operate under the Rules of Procedure approved by a majority of its membership. </w:t>
      </w:r>
    </w:p>
    <w:p w:rsidR="00733B6E" w:rsidRDefault="00733B6E" w:rsidP="00733B6E">
      <w:pPr>
        <w:widowControl w:val="0"/>
        <w:autoSpaceDE w:val="0"/>
        <w:autoSpaceDN w:val="0"/>
        <w:adjustRightInd w:val="0"/>
      </w:pPr>
    </w:p>
    <w:p w:rsidR="00733B6E" w:rsidRDefault="00733B6E" w:rsidP="00733B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15474, effective December 15, 1997) </w:t>
      </w:r>
    </w:p>
    <w:sectPr w:rsidR="00733B6E" w:rsidSect="00733B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B6E"/>
    <w:rsid w:val="005C3366"/>
    <w:rsid w:val="006A4ECB"/>
    <w:rsid w:val="00733B6E"/>
    <w:rsid w:val="007970D2"/>
    <w:rsid w:val="00D7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