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90" w:rsidRDefault="008764E2" w:rsidP="00C13A90">
      <w:pPr>
        <w:widowControl w:val="0"/>
        <w:autoSpaceDE w:val="0"/>
        <w:autoSpaceDN w:val="0"/>
        <w:adjustRightInd w:val="0"/>
      </w:pPr>
      <w:bookmarkStart w:id="0" w:name="_GoBack"/>
      <w:bookmarkEnd w:id="0"/>
      <w:r>
        <w:br w:type="page"/>
      </w:r>
      <w:r w:rsidR="00294A9B" w:rsidRPr="00294A9B">
        <w:rPr>
          <w:b/>
        </w:rPr>
        <w:t>Section</w:t>
      </w:r>
      <w:r w:rsidR="00294A9B">
        <w:t xml:space="preserve"> </w:t>
      </w:r>
      <w:r w:rsidR="00C13A90">
        <w:rPr>
          <w:b/>
          <w:bCs/>
        </w:rPr>
        <w:t>407</w:t>
      </w:r>
      <w:r w:rsidR="00E24C46">
        <w:rPr>
          <w:b/>
          <w:bCs/>
        </w:rPr>
        <w:t>.</w:t>
      </w:r>
      <w:r w:rsidR="0051045B">
        <w:rPr>
          <w:b/>
          <w:bCs/>
        </w:rPr>
        <w:t xml:space="preserve"> </w:t>
      </w:r>
      <w:r w:rsidR="00C13A90">
        <w:rPr>
          <w:b/>
          <w:bCs/>
        </w:rPr>
        <w:t>APPENDIX H  Playground Surfacing &amp; Critical Height</w:t>
      </w:r>
      <w:r w:rsidR="00C13A90">
        <w:t xml:space="preserve"> </w:t>
      </w:r>
    </w:p>
    <w:p w:rsidR="00C13A90" w:rsidRDefault="00C13A90" w:rsidP="00C13A90">
      <w:pPr>
        <w:widowControl w:val="0"/>
        <w:autoSpaceDE w:val="0"/>
        <w:autoSpaceDN w:val="0"/>
        <w:adjustRightInd w:val="0"/>
      </w:pPr>
    </w:p>
    <w:p w:rsidR="006C444B" w:rsidRDefault="006C444B" w:rsidP="00C13A90">
      <w:pPr>
        <w:widowControl w:val="0"/>
        <w:autoSpaceDE w:val="0"/>
        <w:autoSpaceDN w:val="0"/>
        <w:adjustRightInd w:val="0"/>
      </w:pPr>
      <w:r>
        <w:t>Partially exempt programs are exempt from this standard.</w:t>
      </w:r>
    </w:p>
    <w:p w:rsidR="006C444B" w:rsidRDefault="006C444B" w:rsidP="00C13A90">
      <w:pPr>
        <w:widowControl w:val="0"/>
        <w:autoSpaceDE w:val="0"/>
        <w:autoSpaceDN w:val="0"/>
        <w:adjustRightInd w:val="0"/>
      </w:pPr>
    </w:p>
    <w:p w:rsidR="00C13A90" w:rsidRDefault="00C13A90" w:rsidP="00C13A90">
      <w:pPr>
        <w:widowControl w:val="0"/>
        <w:autoSpaceDE w:val="0"/>
        <w:autoSpaceDN w:val="0"/>
        <w:adjustRightInd w:val="0"/>
      </w:pPr>
      <w:r>
        <w:t xml:space="preserve">Critical Height is a term used to describe the shock absorbing performance of a surfacing material and is used in this Part as an approximation of the maximum fall height from which a life-threatening head injury would not be expected to occur. </w:t>
      </w:r>
    </w:p>
    <w:p w:rsidR="00C13A90" w:rsidRDefault="00C13A90" w:rsidP="00C13A90">
      <w:pPr>
        <w:widowControl w:val="0"/>
        <w:autoSpaceDE w:val="0"/>
        <w:autoSpaceDN w:val="0"/>
        <w:adjustRightInd w:val="0"/>
      </w:pPr>
    </w:p>
    <w:p w:rsidR="00C13A90" w:rsidRDefault="00C13A90" w:rsidP="00C13A90">
      <w:pPr>
        <w:widowControl w:val="0"/>
        <w:autoSpaceDE w:val="0"/>
        <w:autoSpaceDN w:val="0"/>
        <w:adjustRightInd w:val="0"/>
      </w:pPr>
      <w:r>
        <w:t xml:space="preserve">The surfacing material used under and around a particular piece of playground equipment should have a Critical Height </w:t>
      </w:r>
      <w:r w:rsidR="00E24C46">
        <w:t>V</w:t>
      </w:r>
      <w:r>
        <w:t xml:space="preserve">alue of at least the height of the highest accessible part of the equipment. </w:t>
      </w:r>
    </w:p>
    <w:p w:rsidR="00C13A90" w:rsidRDefault="00C13A90" w:rsidP="00C13A90">
      <w:pPr>
        <w:widowControl w:val="0"/>
        <w:autoSpaceDE w:val="0"/>
        <w:autoSpaceDN w:val="0"/>
        <w:adjustRightInd w:val="0"/>
      </w:pPr>
    </w:p>
    <w:p w:rsidR="00C13A90" w:rsidRDefault="00C13A90" w:rsidP="00C13A90">
      <w:pPr>
        <w:widowControl w:val="0"/>
        <w:autoSpaceDE w:val="0"/>
        <w:autoSpaceDN w:val="0"/>
        <w:adjustRightInd w:val="0"/>
      </w:pPr>
      <w:r>
        <w:t xml:space="preserve">Acceptable surfacing materials are available in two basic types, unitary or loose-fill. </w:t>
      </w:r>
    </w:p>
    <w:p w:rsidR="00C13A90" w:rsidRDefault="00C13A90" w:rsidP="00C13A90">
      <w:pPr>
        <w:widowControl w:val="0"/>
        <w:autoSpaceDE w:val="0"/>
        <w:autoSpaceDN w:val="0"/>
        <w:adjustRightInd w:val="0"/>
      </w:pPr>
    </w:p>
    <w:p w:rsidR="00C13A90" w:rsidRDefault="00C13A90" w:rsidP="00C13A90">
      <w:pPr>
        <w:widowControl w:val="0"/>
        <w:autoSpaceDE w:val="0"/>
        <w:autoSpaceDN w:val="0"/>
        <w:adjustRightInd w:val="0"/>
      </w:pPr>
      <w:r>
        <w:t xml:space="preserve">Unitary materials are generally rubber mats or a combination of rubberlike materials held in place by a binder that may be poured in place at the playground site.  Persons wishing to install a unitary material as a playground surface should request test data from the manufacturer that should identify the Critical Height of the desired material.  Site requirements should also be obtained from the manufacturer because some unitary materials require installation over a hard surface, while for others this is not required. </w:t>
      </w:r>
    </w:p>
    <w:p w:rsidR="00C13A90" w:rsidRDefault="00C13A90" w:rsidP="00C13A90">
      <w:pPr>
        <w:widowControl w:val="0"/>
        <w:autoSpaceDE w:val="0"/>
        <w:autoSpaceDN w:val="0"/>
        <w:adjustRightInd w:val="0"/>
      </w:pPr>
    </w:p>
    <w:p w:rsidR="00C13A90" w:rsidRDefault="00C13A90" w:rsidP="00C13A90">
      <w:pPr>
        <w:widowControl w:val="0"/>
        <w:autoSpaceDE w:val="0"/>
        <w:autoSpaceDN w:val="0"/>
        <w:adjustRightInd w:val="0"/>
      </w:pPr>
      <w:r>
        <w:t xml:space="preserve">Loose-fill materials can also have acceptable shock absorbing properties. These materials include, but are not confined to, sand, gravel and shredded wool products.  Loose-fill materials should not be installed over hard surfaces such as asphalt or concrete. </w:t>
      </w:r>
    </w:p>
    <w:p w:rsidR="00C13A90" w:rsidRDefault="00C13A90" w:rsidP="00C13A90">
      <w:pPr>
        <w:widowControl w:val="0"/>
        <w:autoSpaceDE w:val="0"/>
        <w:autoSpaceDN w:val="0"/>
        <w:adjustRightInd w:val="0"/>
      </w:pPr>
    </w:p>
    <w:p w:rsidR="00C13A90" w:rsidRDefault="00C13A90" w:rsidP="00C13A90">
      <w:pPr>
        <w:widowControl w:val="0"/>
        <w:autoSpaceDE w:val="0"/>
        <w:autoSpaceDN w:val="0"/>
        <w:adjustRightInd w:val="0"/>
      </w:pPr>
      <w:r>
        <w:t xml:space="preserve">Many vendors are unlikely to have information on the shock absorbing performance of loose-fill materials.  For that reason the U.S. Consumer Product Safety Commission has conducted tests to determine the relative shock absorbing properties of some loose-fill materials commonly used as surfaces under and around playground equipment.  The table below identifies the Critical Heights of these materials when tested at various depths. </w:t>
      </w:r>
    </w:p>
    <w:p w:rsidR="008764E2" w:rsidRDefault="008764E2" w:rsidP="008764E2"/>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915"/>
        <w:gridCol w:w="1921"/>
        <w:gridCol w:w="1935"/>
        <w:gridCol w:w="2115"/>
      </w:tblGrid>
      <w:tr w:rsidR="008764E2">
        <w:tblPrEx>
          <w:tblCellMar>
            <w:top w:w="0" w:type="dxa"/>
            <w:bottom w:w="0" w:type="dxa"/>
          </w:tblCellMar>
        </w:tblPrEx>
        <w:trPr>
          <w:trHeight w:val="557"/>
        </w:trPr>
        <w:tc>
          <w:tcPr>
            <w:tcW w:w="9801" w:type="dxa"/>
            <w:gridSpan w:val="5"/>
            <w:shd w:val="clear" w:color="auto" w:fill="CCCCCC"/>
            <w:vAlign w:val="center"/>
          </w:tcPr>
          <w:p w:rsidR="008764E2" w:rsidRDefault="008764E2" w:rsidP="008764E2">
            <w:pPr>
              <w:jc w:val="center"/>
            </w:pPr>
            <w:r>
              <w:t>Critical Height of Tested Materials</w:t>
            </w:r>
          </w:p>
        </w:tc>
      </w:tr>
      <w:tr w:rsidR="008764E2">
        <w:tblPrEx>
          <w:tblCellMar>
            <w:top w:w="0" w:type="dxa"/>
            <w:bottom w:w="0" w:type="dxa"/>
          </w:tblCellMar>
        </w:tblPrEx>
        <w:trPr>
          <w:trHeight w:val="918"/>
        </w:trPr>
        <w:tc>
          <w:tcPr>
            <w:tcW w:w="1915" w:type="dxa"/>
          </w:tcPr>
          <w:p w:rsidR="008764E2" w:rsidRDefault="008764E2" w:rsidP="008764E2">
            <w:r>
              <w:t>Material</w:t>
            </w:r>
          </w:p>
        </w:tc>
        <w:tc>
          <w:tcPr>
            <w:tcW w:w="1915" w:type="dxa"/>
            <w:vAlign w:val="center"/>
          </w:tcPr>
          <w:p w:rsidR="008764E2" w:rsidRDefault="008764E2" w:rsidP="008764E2">
            <w:r>
              <w:t>6 inch uncompressed depth</w:t>
            </w:r>
          </w:p>
        </w:tc>
        <w:tc>
          <w:tcPr>
            <w:tcW w:w="1921" w:type="dxa"/>
            <w:vAlign w:val="center"/>
          </w:tcPr>
          <w:p w:rsidR="008764E2" w:rsidRDefault="008764E2" w:rsidP="008764E2">
            <w:r>
              <w:t>9 inch uncompressed depth</w:t>
            </w:r>
          </w:p>
        </w:tc>
        <w:tc>
          <w:tcPr>
            <w:tcW w:w="1935" w:type="dxa"/>
            <w:vAlign w:val="center"/>
          </w:tcPr>
          <w:p w:rsidR="008764E2" w:rsidRDefault="008764E2" w:rsidP="008764E2">
            <w:r>
              <w:t>12 inch uncompressed depth</w:t>
            </w:r>
          </w:p>
        </w:tc>
        <w:tc>
          <w:tcPr>
            <w:tcW w:w="2115" w:type="dxa"/>
            <w:vAlign w:val="center"/>
          </w:tcPr>
          <w:p w:rsidR="008764E2" w:rsidRDefault="008764E2" w:rsidP="008764E2">
            <w:r>
              <w:t>9 inch compressed depth</w:t>
            </w:r>
          </w:p>
        </w:tc>
      </w:tr>
      <w:tr w:rsidR="008764E2">
        <w:tblPrEx>
          <w:tblCellMar>
            <w:top w:w="0" w:type="dxa"/>
            <w:bottom w:w="0" w:type="dxa"/>
          </w:tblCellMar>
        </w:tblPrEx>
        <w:trPr>
          <w:trHeight w:val="387"/>
        </w:trPr>
        <w:tc>
          <w:tcPr>
            <w:tcW w:w="1915" w:type="dxa"/>
            <w:vAlign w:val="center"/>
          </w:tcPr>
          <w:p w:rsidR="008764E2" w:rsidRDefault="008764E2" w:rsidP="008764E2">
            <w:r>
              <w:t>Wood Mulch</w:t>
            </w:r>
          </w:p>
        </w:tc>
        <w:tc>
          <w:tcPr>
            <w:tcW w:w="1915" w:type="dxa"/>
            <w:vAlign w:val="center"/>
          </w:tcPr>
          <w:p w:rsidR="008764E2" w:rsidRDefault="008764E2" w:rsidP="008764E2">
            <w:r>
              <w:t>7 feet</w:t>
            </w:r>
          </w:p>
        </w:tc>
        <w:tc>
          <w:tcPr>
            <w:tcW w:w="1921" w:type="dxa"/>
            <w:vAlign w:val="center"/>
          </w:tcPr>
          <w:p w:rsidR="008764E2" w:rsidRDefault="008764E2" w:rsidP="008764E2">
            <w:r>
              <w:t>10 feet</w:t>
            </w:r>
          </w:p>
        </w:tc>
        <w:tc>
          <w:tcPr>
            <w:tcW w:w="1935" w:type="dxa"/>
            <w:vAlign w:val="center"/>
          </w:tcPr>
          <w:p w:rsidR="008764E2" w:rsidRDefault="008764E2" w:rsidP="008764E2">
            <w:r>
              <w:t>11 feet</w:t>
            </w:r>
          </w:p>
        </w:tc>
        <w:tc>
          <w:tcPr>
            <w:tcW w:w="2115" w:type="dxa"/>
            <w:vAlign w:val="center"/>
          </w:tcPr>
          <w:p w:rsidR="008764E2" w:rsidRDefault="008764E2" w:rsidP="008764E2">
            <w:r>
              <w:t>10 feet</w:t>
            </w:r>
          </w:p>
        </w:tc>
      </w:tr>
      <w:tr w:rsidR="008764E2">
        <w:tblPrEx>
          <w:tblCellMar>
            <w:top w:w="0" w:type="dxa"/>
            <w:bottom w:w="0" w:type="dxa"/>
          </w:tblCellMar>
        </w:tblPrEx>
        <w:trPr>
          <w:trHeight w:val="666"/>
        </w:trPr>
        <w:tc>
          <w:tcPr>
            <w:tcW w:w="1915" w:type="dxa"/>
            <w:vAlign w:val="center"/>
          </w:tcPr>
          <w:p w:rsidR="008764E2" w:rsidRDefault="008764E2" w:rsidP="008764E2">
            <w:r>
              <w:t>Double Shredded Bark Mulch</w:t>
            </w:r>
          </w:p>
        </w:tc>
        <w:tc>
          <w:tcPr>
            <w:tcW w:w="1915" w:type="dxa"/>
            <w:vAlign w:val="center"/>
          </w:tcPr>
          <w:p w:rsidR="008764E2" w:rsidRDefault="008764E2" w:rsidP="008764E2">
            <w:r>
              <w:t>6 feet</w:t>
            </w:r>
          </w:p>
        </w:tc>
        <w:tc>
          <w:tcPr>
            <w:tcW w:w="1921" w:type="dxa"/>
            <w:vAlign w:val="center"/>
          </w:tcPr>
          <w:p w:rsidR="008764E2" w:rsidRDefault="008764E2" w:rsidP="008764E2">
            <w:r>
              <w:t>10 feet</w:t>
            </w:r>
          </w:p>
        </w:tc>
        <w:tc>
          <w:tcPr>
            <w:tcW w:w="1935" w:type="dxa"/>
            <w:vAlign w:val="center"/>
          </w:tcPr>
          <w:p w:rsidR="008764E2" w:rsidRDefault="008764E2" w:rsidP="008764E2">
            <w:r>
              <w:t>11 feet</w:t>
            </w:r>
          </w:p>
        </w:tc>
        <w:tc>
          <w:tcPr>
            <w:tcW w:w="2115" w:type="dxa"/>
            <w:vAlign w:val="center"/>
          </w:tcPr>
          <w:p w:rsidR="008764E2" w:rsidRDefault="008764E2" w:rsidP="008764E2">
            <w:r>
              <w:t>7 feet</w:t>
            </w:r>
          </w:p>
        </w:tc>
      </w:tr>
      <w:tr w:rsidR="008764E2">
        <w:tblPrEx>
          <w:tblCellMar>
            <w:top w:w="0" w:type="dxa"/>
            <w:bottom w:w="0" w:type="dxa"/>
          </w:tblCellMar>
        </w:tblPrEx>
        <w:trPr>
          <w:trHeight w:val="675"/>
        </w:trPr>
        <w:tc>
          <w:tcPr>
            <w:tcW w:w="1915" w:type="dxa"/>
            <w:vAlign w:val="center"/>
          </w:tcPr>
          <w:p w:rsidR="008764E2" w:rsidRDefault="008764E2" w:rsidP="008764E2">
            <w:r>
              <w:t>Uniform Wood Chips</w:t>
            </w:r>
          </w:p>
        </w:tc>
        <w:tc>
          <w:tcPr>
            <w:tcW w:w="1915" w:type="dxa"/>
            <w:vAlign w:val="center"/>
          </w:tcPr>
          <w:p w:rsidR="008764E2" w:rsidRDefault="008764E2" w:rsidP="008764E2">
            <w:r>
              <w:t>6 feet</w:t>
            </w:r>
          </w:p>
        </w:tc>
        <w:tc>
          <w:tcPr>
            <w:tcW w:w="1921" w:type="dxa"/>
            <w:vAlign w:val="center"/>
          </w:tcPr>
          <w:p w:rsidR="008764E2" w:rsidRDefault="008764E2" w:rsidP="008764E2">
            <w:r>
              <w:t>7 feet</w:t>
            </w:r>
          </w:p>
        </w:tc>
        <w:tc>
          <w:tcPr>
            <w:tcW w:w="1935" w:type="dxa"/>
            <w:vAlign w:val="center"/>
          </w:tcPr>
          <w:p w:rsidR="008764E2" w:rsidRDefault="008764E2" w:rsidP="008764E2">
            <w:r>
              <w:t>12 feet</w:t>
            </w:r>
          </w:p>
        </w:tc>
        <w:tc>
          <w:tcPr>
            <w:tcW w:w="2115" w:type="dxa"/>
            <w:vAlign w:val="center"/>
          </w:tcPr>
          <w:p w:rsidR="008764E2" w:rsidRDefault="008764E2" w:rsidP="008764E2">
            <w:r>
              <w:t>6 feet</w:t>
            </w:r>
          </w:p>
        </w:tc>
      </w:tr>
      <w:tr w:rsidR="008764E2">
        <w:tblPrEx>
          <w:tblCellMar>
            <w:top w:w="0" w:type="dxa"/>
            <w:bottom w:w="0" w:type="dxa"/>
          </w:tblCellMar>
        </w:tblPrEx>
        <w:trPr>
          <w:trHeight w:val="468"/>
        </w:trPr>
        <w:tc>
          <w:tcPr>
            <w:tcW w:w="1915" w:type="dxa"/>
            <w:vAlign w:val="center"/>
          </w:tcPr>
          <w:p w:rsidR="008764E2" w:rsidRDefault="008764E2" w:rsidP="008764E2">
            <w:r>
              <w:t>Fine Sand</w:t>
            </w:r>
          </w:p>
        </w:tc>
        <w:tc>
          <w:tcPr>
            <w:tcW w:w="1915" w:type="dxa"/>
            <w:vAlign w:val="center"/>
          </w:tcPr>
          <w:p w:rsidR="008764E2" w:rsidRDefault="008764E2" w:rsidP="008764E2">
            <w:r>
              <w:t>5 feet</w:t>
            </w:r>
          </w:p>
        </w:tc>
        <w:tc>
          <w:tcPr>
            <w:tcW w:w="1921" w:type="dxa"/>
            <w:vAlign w:val="center"/>
          </w:tcPr>
          <w:p w:rsidR="008764E2" w:rsidRDefault="008764E2" w:rsidP="008764E2">
            <w:r>
              <w:t>5 feet</w:t>
            </w:r>
          </w:p>
        </w:tc>
        <w:tc>
          <w:tcPr>
            <w:tcW w:w="1935" w:type="dxa"/>
            <w:vAlign w:val="center"/>
          </w:tcPr>
          <w:p w:rsidR="008764E2" w:rsidRDefault="008764E2" w:rsidP="008764E2">
            <w:r>
              <w:t>9 feet</w:t>
            </w:r>
          </w:p>
        </w:tc>
        <w:tc>
          <w:tcPr>
            <w:tcW w:w="2115" w:type="dxa"/>
            <w:vAlign w:val="center"/>
          </w:tcPr>
          <w:p w:rsidR="008764E2" w:rsidRDefault="008764E2" w:rsidP="008764E2">
            <w:r>
              <w:t>5 feet</w:t>
            </w:r>
          </w:p>
        </w:tc>
      </w:tr>
      <w:tr w:rsidR="008764E2">
        <w:tblPrEx>
          <w:tblCellMar>
            <w:top w:w="0" w:type="dxa"/>
            <w:bottom w:w="0" w:type="dxa"/>
          </w:tblCellMar>
        </w:tblPrEx>
        <w:trPr>
          <w:trHeight w:val="450"/>
        </w:trPr>
        <w:tc>
          <w:tcPr>
            <w:tcW w:w="1915" w:type="dxa"/>
            <w:vAlign w:val="center"/>
          </w:tcPr>
          <w:p w:rsidR="008764E2" w:rsidRDefault="008764E2" w:rsidP="008764E2">
            <w:r>
              <w:t>Course Sand</w:t>
            </w:r>
          </w:p>
        </w:tc>
        <w:tc>
          <w:tcPr>
            <w:tcW w:w="1915" w:type="dxa"/>
            <w:vAlign w:val="center"/>
          </w:tcPr>
          <w:p w:rsidR="008764E2" w:rsidRDefault="008764E2" w:rsidP="008764E2">
            <w:r>
              <w:t>5 feet</w:t>
            </w:r>
          </w:p>
        </w:tc>
        <w:tc>
          <w:tcPr>
            <w:tcW w:w="1921" w:type="dxa"/>
            <w:vAlign w:val="center"/>
          </w:tcPr>
          <w:p w:rsidR="008764E2" w:rsidRDefault="008764E2" w:rsidP="008764E2">
            <w:r>
              <w:t>5 feet</w:t>
            </w:r>
          </w:p>
        </w:tc>
        <w:tc>
          <w:tcPr>
            <w:tcW w:w="1935" w:type="dxa"/>
            <w:vAlign w:val="center"/>
          </w:tcPr>
          <w:p w:rsidR="008764E2" w:rsidRDefault="008764E2" w:rsidP="008764E2">
            <w:r>
              <w:t>6 feet</w:t>
            </w:r>
          </w:p>
        </w:tc>
        <w:tc>
          <w:tcPr>
            <w:tcW w:w="2115" w:type="dxa"/>
            <w:vAlign w:val="center"/>
          </w:tcPr>
          <w:p w:rsidR="008764E2" w:rsidRDefault="008764E2" w:rsidP="008764E2">
            <w:r>
              <w:t>4 feet</w:t>
            </w:r>
          </w:p>
        </w:tc>
      </w:tr>
      <w:tr w:rsidR="008764E2">
        <w:tblPrEx>
          <w:tblCellMar>
            <w:top w:w="0" w:type="dxa"/>
            <w:bottom w:w="0" w:type="dxa"/>
          </w:tblCellMar>
        </w:tblPrEx>
        <w:trPr>
          <w:trHeight w:val="432"/>
        </w:trPr>
        <w:tc>
          <w:tcPr>
            <w:tcW w:w="1915" w:type="dxa"/>
            <w:vAlign w:val="center"/>
          </w:tcPr>
          <w:p w:rsidR="008764E2" w:rsidRDefault="008764E2" w:rsidP="008764E2">
            <w:r>
              <w:t>Fine Gravel</w:t>
            </w:r>
          </w:p>
        </w:tc>
        <w:tc>
          <w:tcPr>
            <w:tcW w:w="1915" w:type="dxa"/>
            <w:vAlign w:val="center"/>
          </w:tcPr>
          <w:p w:rsidR="008764E2" w:rsidRDefault="008764E2" w:rsidP="008764E2">
            <w:r>
              <w:t>6 feet</w:t>
            </w:r>
          </w:p>
        </w:tc>
        <w:tc>
          <w:tcPr>
            <w:tcW w:w="1921" w:type="dxa"/>
            <w:vAlign w:val="center"/>
          </w:tcPr>
          <w:p w:rsidR="008764E2" w:rsidRDefault="008764E2" w:rsidP="008764E2">
            <w:r>
              <w:t>7 feet</w:t>
            </w:r>
          </w:p>
        </w:tc>
        <w:tc>
          <w:tcPr>
            <w:tcW w:w="1935" w:type="dxa"/>
            <w:vAlign w:val="center"/>
          </w:tcPr>
          <w:p w:rsidR="008764E2" w:rsidRDefault="008764E2" w:rsidP="008764E2">
            <w:r>
              <w:t>10 feet</w:t>
            </w:r>
          </w:p>
        </w:tc>
        <w:tc>
          <w:tcPr>
            <w:tcW w:w="2115" w:type="dxa"/>
            <w:vAlign w:val="center"/>
          </w:tcPr>
          <w:p w:rsidR="008764E2" w:rsidRDefault="008764E2" w:rsidP="008764E2">
            <w:r>
              <w:t>6 feet</w:t>
            </w:r>
          </w:p>
        </w:tc>
      </w:tr>
      <w:tr w:rsidR="008764E2">
        <w:tblPrEx>
          <w:tblCellMar>
            <w:top w:w="0" w:type="dxa"/>
            <w:bottom w:w="0" w:type="dxa"/>
          </w:tblCellMar>
        </w:tblPrEx>
        <w:trPr>
          <w:trHeight w:val="557"/>
        </w:trPr>
        <w:tc>
          <w:tcPr>
            <w:tcW w:w="1915" w:type="dxa"/>
            <w:vAlign w:val="center"/>
          </w:tcPr>
          <w:p w:rsidR="008764E2" w:rsidRDefault="008764E2" w:rsidP="008764E2">
            <w:r>
              <w:t>Medium Gravel</w:t>
            </w:r>
          </w:p>
        </w:tc>
        <w:tc>
          <w:tcPr>
            <w:tcW w:w="1915" w:type="dxa"/>
            <w:vAlign w:val="center"/>
          </w:tcPr>
          <w:p w:rsidR="008764E2" w:rsidRDefault="008764E2" w:rsidP="008764E2">
            <w:r>
              <w:t>5 feet</w:t>
            </w:r>
          </w:p>
        </w:tc>
        <w:tc>
          <w:tcPr>
            <w:tcW w:w="1921" w:type="dxa"/>
            <w:vAlign w:val="center"/>
          </w:tcPr>
          <w:p w:rsidR="008764E2" w:rsidRDefault="008764E2" w:rsidP="008764E2">
            <w:r>
              <w:t>5 feet</w:t>
            </w:r>
          </w:p>
        </w:tc>
        <w:tc>
          <w:tcPr>
            <w:tcW w:w="1935" w:type="dxa"/>
            <w:vAlign w:val="center"/>
          </w:tcPr>
          <w:p w:rsidR="008764E2" w:rsidRDefault="008764E2" w:rsidP="008764E2">
            <w:r>
              <w:t>6 feet</w:t>
            </w:r>
          </w:p>
        </w:tc>
        <w:tc>
          <w:tcPr>
            <w:tcW w:w="2115" w:type="dxa"/>
            <w:vAlign w:val="center"/>
          </w:tcPr>
          <w:p w:rsidR="008764E2" w:rsidRDefault="008764E2" w:rsidP="008764E2">
            <w:r>
              <w:t>5 feet</w:t>
            </w:r>
          </w:p>
        </w:tc>
      </w:tr>
    </w:tbl>
    <w:p w:rsidR="008764E2" w:rsidRPr="00935A8C" w:rsidRDefault="008764E2" w:rsidP="008764E2"/>
    <w:p w:rsidR="00C13A90" w:rsidRDefault="00C13A90" w:rsidP="008764E2">
      <w:pPr>
        <w:widowControl w:val="0"/>
        <w:autoSpaceDE w:val="0"/>
        <w:autoSpaceDN w:val="0"/>
        <w:adjustRightInd w:val="0"/>
        <w:ind w:left="855" w:hanging="135"/>
      </w:pPr>
      <w:r>
        <w:tab/>
        <w:t xml:space="preserve">The above material was reproduced with permission from the Handbook for Public Playground Safety by the U.S. Consumer Product Safety Commission. </w:t>
      </w:r>
    </w:p>
    <w:p w:rsidR="008764E2" w:rsidRDefault="008764E2">
      <w:pPr>
        <w:pStyle w:val="JCARSourceNote"/>
        <w:ind w:firstLine="720"/>
      </w:pPr>
    </w:p>
    <w:p w:rsidR="008764E2" w:rsidRPr="00D55B37" w:rsidRDefault="008764E2">
      <w:pPr>
        <w:pStyle w:val="JCARSourceNote"/>
        <w:ind w:firstLine="720"/>
      </w:pPr>
      <w:r w:rsidRPr="00D55B37">
        <w:t xml:space="preserve">(Source:  </w:t>
      </w:r>
      <w:r>
        <w:t>Amended</w:t>
      </w:r>
      <w:r w:rsidRPr="00D55B37">
        <w:t xml:space="preserve"> at 2</w:t>
      </w:r>
      <w:r w:rsidR="00B21DEF">
        <w:t>8</w:t>
      </w:r>
      <w:r>
        <w:t xml:space="preserve"> </w:t>
      </w:r>
      <w:r w:rsidRPr="00D55B37">
        <w:t xml:space="preserve">Ill. Reg. </w:t>
      </w:r>
      <w:r w:rsidR="009613CB">
        <w:t>3011</w:t>
      </w:r>
      <w:r w:rsidRPr="00D55B37">
        <w:t xml:space="preserve">, effective </w:t>
      </w:r>
      <w:r w:rsidR="009613CB">
        <w:t>February 15, 2004</w:t>
      </w:r>
      <w:r w:rsidRPr="00D55B37">
        <w:t>)</w:t>
      </w:r>
    </w:p>
    <w:sectPr w:rsidR="008764E2" w:rsidRPr="00D55B37" w:rsidSect="00C13A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A90"/>
    <w:rsid w:val="0010643D"/>
    <w:rsid w:val="00294A9B"/>
    <w:rsid w:val="0051045B"/>
    <w:rsid w:val="00544838"/>
    <w:rsid w:val="005C3366"/>
    <w:rsid w:val="006C444B"/>
    <w:rsid w:val="00782277"/>
    <w:rsid w:val="008764E2"/>
    <w:rsid w:val="009613CB"/>
    <w:rsid w:val="00B21DEF"/>
    <w:rsid w:val="00BB0464"/>
    <w:rsid w:val="00C13A90"/>
    <w:rsid w:val="00E2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6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