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7F" w:rsidRDefault="00D9337F" w:rsidP="00D933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337F" w:rsidRDefault="00D9337F" w:rsidP="00D9337F">
      <w:pPr>
        <w:widowControl w:val="0"/>
        <w:autoSpaceDE w:val="0"/>
        <w:autoSpaceDN w:val="0"/>
        <w:adjustRightInd w:val="0"/>
      </w:pPr>
      <w:r>
        <w:t xml:space="preserve">SOURCE:  Adopted and codified at 6 Ill. Reg. 13713, effective Nov. 15, 1982; emergency amendments at 18 Ill. Reg. 8474, effective May 20, 1994, for a maximum of 150 days; emergency expired October 17, 1994; amended at 19 Ill. Reg. 8165, effective June 9, 1995; amended at 26 Ill. Reg. 4623, effective March 15, 2002. </w:t>
      </w:r>
      <w:r>
        <w:tab/>
      </w:r>
    </w:p>
    <w:sectPr w:rsidR="00D9337F" w:rsidSect="00D93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37F"/>
    <w:rsid w:val="00206621"/>
    <w:rsid w:val="005C3366"/>
    <w:rsid w:val="0074509E"/>
    <w:rsid w:val="00791944"/>
    <w:rsid w:val="00D9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