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F" w:rsidRDefault="007874EF" w:rsidP="00787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4EF" w:rsidRDefault="007874EF" w:rsidP="007874EF">
      <w:pPr>
        <w:widowControl w:val="0"/>
        <w:autoSpaceDE w:val="0"/>
        <w:autoSpaceDN w:val="0"/>
        <w:adjustRightInd w:val="0"/>
      </w:pPr>
      <w:r>
        <w:t xml:space="preserve">SOURCE:  Adopted at 23 Ill. Reg. 5673, effective May 10, 1999; emergency amendment at 24 Ill. Reg. 2476, effective January 14, 2000, for a maximum of 150 days; emergency expired June 11, 2000; amended at 24 Ill. Reg. 8508, effective July 1, 2000. </w:t>
      </w:r>
      <w:r>
        <w:tab/>
      </w:r>
    </w:p>
    <w:sectPr w:rsidR="007874EF" w:rsidSect="00787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4EF"/>
    <w:rsid w:val="005B24F2"/>
    <w:rsid w:val="005C3366"/>
    <w:rsid w:val="00730276"/>
    <w:rsid w:val="0078169D"/>
    <w:rsid w:val="007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