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87" w:rsidRDefault="00463287" w:rsidP="004632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287" w:rsidRDefault="00463287" w:rsidP="00463287">
      <w:pPr>
        <w:widowControl w:val="0"/>
        <w:autoSpaceDE w:val="0"/>
        <w:autoSpaceDN w:val="0"/>
        <w:adjustRightInd w:val="0"/>
      </w:pPr>
      <w:r>
        <w:t xml:space="preserve">AUTHORITY:  Implementing Section 3 of the Board and Care Home Registration Act [225 ILCS 7] and authorized by Sections 4.01(11) and 4.04(c) of the Illinois Act on the Aging [20 ILCS 105/4.01(11) and 4.04(c)] (see also Public Act 89-387, effective August 20, 1995). </w:t>
      </w:r>
    </w:p>
    <w:sectPr w:rsidR="00463287" w:rsidSect="00463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287"/>
    <w:rsid w:val="00463287"/>
    <w:rsid w:val="004C1070"/>
    <w:rsid w:val="005C3366"/>
    <w:rsid w:val="009A2352"/>
    <w:rsid w:val="00B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Board and Care Home Registration Act [225 ILCS 7] and authorized by Sections 4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Board and Care Home Registration Act [225 ILCS 7] and authorized by Sections 4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