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B0" w:rsidRPr="00DB443D" w:rsidRDefault="00712EB0" w:rsidP="00712EB0">
      <w:pPr>
        <w:rPr>
          <w:rFonts w:eastAsia="Calibri"/>
          <w:b/>
        </w:rPr>
      </w:pPr>
    </w:p>
    <w:p w:rsidR="00712EB0" w:rsidRPr="00DB443D" w:rsidRDefault="00712EB0" w:rsidP="00712EB0">
      <w:pPr>
        <w:rPr>
          <w:rFonts w:eastAsia="Calibri"/>
          <w:b/>
        </w:rPr>
      </w:pPr>
      <w:r w:rsidRPr="00DB443D">
        <w:rPr>
          <w:rFonts w:eastAsia="Calibri"/>
          <w:b/>
        </w:rPr>
        <w:t xml:space="preserve">Section 270.464 </w:t>
      </w:r>
      <w:r>
        <w:rPr>
          <w:rFonts w:eastAsia="Calibri"/>
          <w:b/>
        </w:rPr>
        <w:t xml:space="preserve"> </w:t>
      </w:r>
      <w:r w:rsidRPr="00DB443D">
        <w:rPr>
          <w:rFonts w:eastAsia="Calibri"/>
          <w:b/>
        </w:rPr>
        <w:t xml:space="preserve">Failure to Appear </w:t>
      </w:r>
    </w:p>
    <w:p w:rsidR="00712EB0" w:rsidRPr="00DB443D" w:rsidRDefault="00712EB0" w:rsidP="00712EB0">
      <w:pPr>
        <w:rPr>
          <w:rFonts w:eastAsia="Calibri"/>
          <w:b/>
        </w:rPr>
      </w:pPr>
    </w:p>
    <w:p w:rsidR="00712EB0" w:rsidRPr="00DB443D" w:rsidRDefault="00712EB0" w:rsidP="003B4B55">
      <w:pPr>
        <w:ind w:left="1440" w:hanging="720"/>
        <w:rPr>
          <w:rFonts w:eastAsia="Calibri"/>
        </w:rPr>
      </w:pPr>
      <w:r w:rsidRPr="00DB443D">
        <w:rPr>
          <w:rFonts w:eastAsia="Calibri"/>
        </w:rPr>
        <w:t>a)</w:t>
      </w:r>
      <w:r>
        <w:rPr>
          <w:rFonts w:eastAsia="Calibri"/>
        </w:rPr>
        <w:tab/>
      </w:r>
      <w:r w:rsidRPr="00DB443D">
        <w:rPr>
          <w:rFonts w:eastAsia="Calibri"/>
        </w:rPr>
        <w:t>Unless a continuance is granted pursuant to Section 270.436</w:t>
      </w:r>
      <w:r>
        <w:rPr>
          <w:rFonts w:eastAsia="Calibri"/>
        </w:rPr>
        <w:t>,</w:t>
      </w:r>
      <w:r w:rsidRPr="00DB443D">
        <w:rPr>
          <w:rFonts w:eastAsia="Calibri"/>
        </w:rPr>
        <w:t xml:space="preserve"> a matter will be considered abandoned and therefore dismissed if: </w:t>
      </w:r>
    </w:p>
    <w:p w:rsidR="00712EB0" w:rsidRPr="00DB443D" w:rsidRDefault="00712EB0" w:rsidP="00712EB0">
      <w:pPr>
        <w:ind w:left="2160" w:hanging="720"/>
        <w:rPr>
          <w:rFonts w:eastAsia="Calibri"/>
        </w:rPr>
      </w:pPr>
    </w:p>
    <w:p w:rsidR="00712EB0" w:rsidRPr="00DB443D" w:rsidRDefault="00712EB0" w:rsidP="003B4B55">
      <w:pPr>
        <w:ind w:left="2160" w:hanging="720"/>
        <w:rPr>
          <w:rFonts w:eastAsia="Calibri"/>
        </w:rPr>
      </w:pPr>
      <w:r w:rsidRPr="00DB443D">
        <w:rPr>
          <w:rFonts w:eastAsia="Calibri"/>
        </w:rPr>
        <w:t>1)</w:t>
      </w:r>
      <w:r w:rsidRPr="00DB443D">
        <w:rPr>
          <w:rFonts w:eastAsia="Calibri"/>
        </w:rPr>
        <w:tab/>
        <w:t xml:space="preserve">A party does not appear at the time, date and place designated for the hearing; </w:t>
      </w:r>
    </w:p>
    <w:p w:rsidR="00712EB0" w:rsidRPr="00DB443D" w:rsidRDefault="00712EB0" w:rsidP="00712EB0">
      <w:pPr>
        <w:ind w:left="2160" w:hanging="720"/>
        <w:rPr>
          <w:rFonts w:eastAsia="Calibri"/>
        </w:rPr>
      </w:pPr>
    </w:p>
    <w:p w:rsidR="00712EB0" w:rsidRPr="00DB443D" w:rsidRDefault="00712EB0" w:rsidP="003B4B55">
      <w:pPr>
        <w:ind w:left="2160" w:hanging="720"/>
        <w:rPr>
          <w:rFonts w:eastAsia="Calibri"/>
        </w:rPr>
      </w:pPr>
      <w:r w:rsidRPr="00DB443D">
        <w:rPr>
          <w:rFonts w:eastAsia="Calibri"/>
        </w:rPr>
        <w:t>2)</w:t>
      </w:r>
      <w:r w:rsidRPr="00DB443D">
        <w:rPr>
          <w:rFonts w:eastAsia="Calibri"/>
        </w:rPr>
        <w:tab/>
        <w:t>A party fails or refuses to proceed with the hearing; or</w:t>
      </w:r>
    </w:p>
    <w:p w:rsidR="00712EB0" w:rsidRPr="00DB443D" w:rsidRDefault="00712EB0" w:rsidP="00712EB0">
      <w:pPr>
        <w:ind w:left="2160" w:hanging="720"/>
        <w:rPr>
          <w:rFonts w:eastAsia="Calibri"/>
        </w:rPr>
      </w:pPr>
    </w:p>
    <w:p w:rsidR="00712EB0" w:rsidRPr="00DB443D" w:rsidRDefault="00712EB0" w:rsidP="003B4B55">
      <w:pPr>
        <w:ind w:left="2160" w:hanging="720"/>
        <w:rPr>
          <w:rFonts w:eastAsia="Calibri"/>
        </w:rPr>
      </w:pPr>
      <w:r w:rsidRPr="00DB443D">
        <w:rPr>
          <w:rFonts w:eastAsia="Calibri"/>
        </w:rPr>
        <w:t>3)</w:t>
      </w:r>
      <w:r w:rsidRPr="00DB443D">
        <w:rPr>
          <w:rFonts w:eastAsia="Calibri"/>
        </w:rPr>
        <w:tab/>
        <w:t>A party failed to notify the Department</w:t>
      </w:r>
      <w:r>
        <w:rPr>
          <w:rFonts w:eastAsia="Calibri"/>
        </w:rPr>
        <w:t>/other</w:t>
      </w:r>
      <w:r w:rsidRPr="00DB443D">
        <w:rPr>
          <w:rFonts w:eastAsia="Calibri"/>
        </w:rPr>
        <w:t xml:space="preserve"> entity of a change of address and a notice of the administrative hearing, sent to the party's last known address, was returned as "undeliverable", "unclaimed", "refused", "moved", or "no forwarding address" or other type of returned mail, via postal or electronic mail.</w:t>
      </w:r>
    </w:p>
    <w:p w:rsidR="00712EB0" w:rsidRPr="00DB443D" w:rsidRDefault="00712EB0" w:rsidP="00712EB0">
      <w:pPr>
        <w:ind w:left="2160" w:hanging="720"/>
        <w:rPr>
          <w:rFonts w:eastAsia="Calibri"/>
        </w:rPr>
      </w:pPr>
    </w:p>
    <w:p w:rsidR="00712EB0" w:rsidRPr="00DB443D" w:rsidRDefault="00712EB0" w:rsidP="003B4B55">
      <w:pPr>
        <w:ind w:left="1440" w:hanging="720"/>
        <w:rPr>
          <w:rFonts w:eastAsia="Calibri"/>
        </w:rPr>
      </w:pPr>
      <w:r w:rsidRPr="00DB443D">
        <w:rPr>
          <w:rFonts w:eastAsia="Calibri"/>
        </w:rPr>
        <w:t>b)</w:t>
      </w:r>
      <w:r>
        <w:rPr>
          <w:rFonts w:eastAsia="Calibri"/>
        </w:rPr>
        <w:tab/>
      </w:r>
      <w:r w:rsidRPr="00DB443D">
        <w:rPr>
          <w:rFonts w:eastAsia="Calibri"/>
        </w:rPr>
        <w:t xml:space="preserve">Parties will be informed of the abandonment and resulting dismissal by written notice.  </w:t>
      </w:r>
    </w:p>
    <w:p w:rsidR="00712EB0" w:rsidRPr="00DB443D" w:rsidRDefault="00712EB0" w:rsidP="00712EB0">
      <w:pPr>
        <w:rPr>
          <w:rFonts w:eastAsia="Calibri"/>
        </w:rPr>
      </w:pPr>
    </w:p>
    <w:p w:rsidR="00712EB0" w:rsidRPr="00DB443D" w:rsidRDefault="00712EB0" w:rsidP="003B4B55">
      <w:pPr>
        <w:ind w:left="1440" w:hanging="720"/>
        <w:rPr>
          <w:rFonts w:eastAsia="Calibri"/>
        </w:rPr>
      </w:pPr>
      <w:r w:rsidRPr="00DB443D">
        <w:rPr>
          <w:rFonts w:eastAsia="Calibri"/>
        </w:rPr>
        <w:t>c)</w:t>
      </w:r>
      <w:r>
        <w:rPr>
          <w:rFonts w:eastAsia="Calibri"/>
        </w:rPr>
        <w:tab/>
      </w:r>
      <w:r w:rsidRPr="00DB443D">
        <w:rPr>
          <w:rFonts w:eastAsia="Calibri"/>
        </w:rPr>
        <w:t xml:space="preserve">A request to vacate a dismissal resulting from abandonment is to be in writing and signed by the party that failed to appear. </w:t>
      </w:r>
      <w:r>
        <w:rPr>
          <w:rFonts w:eastAsia="Calibri"/>
        </w:rPr>
        <w:t xml:space="preserve">These </w:t>
      </w:r>
      <w:r w:rsidRPr="00DB443D">
        <w:rPr>
          <w:rFonts w:eastAsia="Calibri"/>
        </w:rPr>
        <w:t xml:space="preserve">requests are to be made </w:t>
      </w:r>
      <w:r>
        <w:rPr>
          <w:rFonts w:eastAsia="Calibri"/>
        </w:rPr>
        <w:t xml:space="preserve">to </w:t>
      </w:r>
      <w:r w:rsidRPr="00DB443D">
        <w:rPr>
          <w:rFonts w:eastAsia="Calibri"/>
        </w:rPr>
        <w:t>the Department</w:t>
      </w:r>
      <w:r>
        <w:rPr>
          <w:rFonts w:eastAsia="Calibri"/>
        </w:rPr>
        <w:t>/other</w:t>
      </w:r>
      <w:r w:rsidRPr="00DB443D">
        <w:rPr>
          <w:rFonts w:eastAsia="Calibri"/>
        </w:rPr>
        <w:t xml:space="preserve"> entity within 15 calendar days after notice of dismissal. Dismissals will be vacated only if good cause for non</w:t>
      </w:r>
      <w:r>
        <w:rPr>
          <w:rFonts w:eastAsia="Calibri"/>
        </w:rPr>
        <w:t xml:space="preserve">appearance </w:t>
      </w:r>
      <w:r w:rsidRPr="00DB443D">
        <w:rPr>
          <w:rFonts w:eastAsia="Calibri"/>
        </w:rPr>
        <w:t xml:space="preserve">is shown. Good cause for failure to appear includes, but is not limited to: </w:t>
      </w:r>
    </w:p>
    <w:p w:rsidR="00712EB0" w:rsidRPr="00DB443D" w:rsidRDefault="00712EB0" w:rsidP="00712EB0">
      <w:pPr>
        <w:rPr>
          <w:rFonts w:eastAsia="Calibri"/>
        </w:rPr>
      </w:pPr>
    </w:p>
    <w:p w:rsidR="00712EB0" w:rsidRPr="00732622" w:rsidRDefault="00712EB0" w:rsidP="003B4B55">
      <w:pPr>
        <w:ind w:left="2160" w:hanging="720"/>
        <w:rPr>
          <w:rFonts w:eastAsia="Calibri"/>
        </w:rPr>
      </w:pPr>
      <w:r>
        <w:rPr>
          <w:rFonts w:eastAsia="Calibri"/>
        </w:rPr>
        <w:t>1)</w:t>
      </w:r>
      <w:r>
        <w:rPr>
          <w:rFonts w:eastAsia="Calibri"/>
        </w:rPr>
        <w:tab/>
      </w:r>
      <w:r w:rsidRPr="00DB443D">
        <w:rPr>
          <w:rFonts w:eastAsia="Calibri"/>
        </w:rPr>
        <w:t>Death or serious illness in the immediate family of a party or a party</w:t>
      </w:r>
      <w:r>
        <w:rPr>
          <w:rFonts w:eastAsia="Calibri"/>
        </w:rPr>
        <w:t>'</w:t>
      </w:r>
      <w:r w:rsidRPr="00DB443D">
        <w:rPr>
          <w:rFonts w:eastAsia="Calibri"/>
        </w:rPr>
        <w:t>s representative;</w:t>
      </w:r>
    </w:p>
    <w:p w:rsidR="00712EB0" w:rsidRPr="00732622" w:rsidRDefault="00712EB0" w:rsidP="00712EB0">
      <w:pPr>
        <w:rPr>
          <w:rFonts w:eastAsia="Calibri"/>
        </w:rPr>
      </w:pPr>
    </w:p>
    <w:p w:rsidR="00712EB0" w:rsidRPr="00DB443D" w:rsidRDefault="00712EB0" w:rsidP="003B4B55">
      <w:pPr>
        <w:ind w:left="2160" w:hanging="720"/>
        <w:rPr>
          <w:rFonts w:eastAsia="Calibri"/>
        </w:rPr>
      </w:pPr>
      <w:r w:rsidRPr="00732622">
        <w:rPr>
          <w:rFonts w:eastAsia="Calibri"/>
        </w:rPr>
        <w:t>2)</w:t>
      </w:r>
      <w:r>
        <w:rPr>
          <w:rFonts w:eastAsia="Calibri"/>
        </w:rPr>
        <w:tab/>
      </w:r>
      <w:r w:rsidRPr="00DB443D">
        <w:rPr>
          <w:rFonts w:eastAsia="Calibri"/>
        </w:rPr>
        <w:t>Failure of the Department</w:t>
      </w:r>
      <w:r>
        <w:rPr>
          <w:rFonts w:eastAsia="Calibri"/>
        </w:rPr>
        <w:t>/other</w:t>
      </w:r>
      <w:r w:rsidRPr="00DB443D">
        <w:rPr>
          <w:rFonts w:eastAsia="Calibri"/>
        </w:rPr>
        <w:t xml:space="preserve"> entity to give notice of the proceeding to a party and Department representative in accordance with this </w:t>
      </w:r>
      <w:r>
        <w:rPr>
          <w:rFonts w:eastAsia="Calibri"/>
        </w:rPr>
        <w:t>Subpart</w:t>
      </w:r>
      <w:r w:rsidRPr="00DB443D">
        <w:rPr>
          <w:rFonts w:eastAsia="Calibri"/>
        </w:rPr>
        <w:t xml:space="preserve">; or  </w:t>
      </w:r>
    </w:p>
    <w:p w:rsidR="00712EB0" w:rsidRPr="00DB443D" w:rsidRDefault="00712EB0" w:rsidP="00712EB0">
      <w:pPr>
        <w:rPr>
          <w:rFonts w:eastAsia="Calibri"/>
        </w:rPr>
      </w:pPr>
    </w:p>
    <w:p w:rsidR="00712EB0" w:rsidRPr="00DB443D" w:rsidRDefault="00712EB0" w:rsidP="003B4B55">
      <w:pPr>
        <w:ind w:left="2160" w:hanging="720"/>
        <w:rPr>
          <w:rFonts w:eastAsia="Calibri"/>
        </w:rPr>
      </w:pPr>
      <w:r w:rsidRPr="00DB443D">
        <w:rPr>
          <w:rFonts w:eastAsia="Calibri"/>
        </w:rPr>
        <w:t>3)</w:t>
      </w:r>
      <w:r>
        <w:rPr>
          <w:rFonts w:eastAsia="Calibri"/>
        </w:rPr>
        <w:tab/>
      </w:r>
      <w:r w:rsidRPr="00DB443D">
        <w:rPr>
          <w:rFonts w:eastAsia="Calibri"/>
        </w:rPr>
        <w:t xml:space="preserve">An unanticipated circumstance for which the party could not reasonably request a continuance. </w:t>
      </w:r>
    </w:p>
    <w:p w:rsidR="00712EB0" w:rsidRPr="00DB443D" w:rsidRDefault="00712EB0" w:rsidP="00712EB0">
      <w:pPr>
        <w:rPr>
          <w:rFonts w:eastAsia="Calibri"/>
        </w:rPr>
      </w:pPr>
    </w:p>
    <w:p w:rsidR="00712EB0" w:rsidRPr="00DB443D" w:rsidRDefault="00712EB0" w:rsidP="003B4B55">
      <w:pPr>
        <w:ind w:left="1440" w:hanging="720"/>
        <w:rPr>
          <w:rFonts w:eastAsia="Calibri"/>
        </w:rPr>
      </w:pPr>
      <w:r w:rsidRPr="00DB443D">
        <w:rPr>
          <w:rFonts w:eastAsia="Calibri"/>
        </w:rPr>
        <w:t>d)</w:t>
      </w:r>
      <w:r>
        <w:rPr>
          <w:rFonts w:eastAsia="Calibri"/>
        </w:rPr>
        <w:tab/>
        <w:t xml:space="preserve">When </w:t>
      </w:r>
      <w:r w:rsidRPr="00DB443D">
        <w:rPr>
          <w:rFonts w:eastAsia="Calibri"/>
        </w:rPr>
        <w:t xml:space="preserve">a responding party fails to appear, the </w:t>
      </w:r>
      <w:r>
        <w:rPr>
          <w:rFonts w:eastAsia="Calibri"/>
        </w:rPr>
        <w:t xml:space="preserve">ALJ </w:t>
      </w:r>
      <w:r w:rsidRPr="00DB443D">
        <w:rPr>
          <w:rFonts w:eastAsia="Calibri"/>
        </w:rPr>
        <w:t xml:space="preserve">will proceed with the hearing to obtain evidence from the party who bears the burden of proof. Failure to appear at the time, place and date set for hearing will be deemed a waiver of the right to present evidence. </w:t>
      </w:r>
    </w:p>
    <w:p w:rsidR="00712EB0" w:rsidRPr="00DB443D" w:rsidRDefault="00712EB0" w:rsidP="00712EB0">
      <w:pPr>
        <w:rPr>
          <w:rFonts w:eastAsia="Calibri"/>
          <w:b/>
        </w:rPr>
      </w:pPr>
    </w:p>
    <w:p w:rsidR="000174EB" w:rsidRPr="00093935" w:rsidRDefault="00712EB0" w:rsidP="00712EB0">
      <w:pPr>
        <w:ind w:left="720"/>
      </w:pPr>
      <w:r>
        <w:t xml:space="preserve">(Source:  Added at 42 Ill. Reg. </w:t>
      </w:r>
      <w:bookmarkStart w:id="0" w:name="_GoBack"/>
      <w:bookmarkEnd w:id="0"/>
      <w:r w:rsidR="00FC1AFD">
        <w:t>9226</w:t>
      </w:r>
      <w:r>
        <w:t xml:space="preserve">, effective </w:t>
      </w:r>
      <w:r w:rsidR="00FC1AFD">
        <w:t>July 1, 2018</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B0" w:rsidRDefault="000B29B0">
      <w:r>
        <w:separator/>
      </w:r>
    </w:p>
  </w:endnote>
  <w:endnote w:type="continuationSeparator" w:id="0">
    <w:p w:rsidR="000B29B0" w:rsidRDefault="000B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B0" w:rsidRDefault="000B29B0">
      <w:r>
        <w:separator/>
      </w:r>
    </w:p>
  </w:footnote>
  <w:footnote w:type="continuationSeparator" w:id="0">
    <w:p w:rsidR="000B29B0" w:rsidRDefault="000B2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29B0"/>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4B55"/>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0C0B"/>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EB0"/>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AFD"/>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ED68F7-1B7D-456F-8241-191EBB97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E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1492</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2018-06-29T15:35:00Z</dcterms:modified>
</cp:coreProperties>
</file>