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89" w:rsidRDefault="004B5089" w:rsidP="004B5089">
      <w:pPr>
        <w:pStyle w:val="JCARSourceNote"/>
        <w:rPr>
          <w:b/>
        </w:rPr>
      </w:pPr>
    </w:p>
    <w:p w:rsidR="004B5089" w:rsidRDefault="004B5089" w:rsidP="004B5089">
      <w:pPr>
        <w:pStyle w:val="JCARSourceNote"/>
        <w:rPr>
          <w:b/>
        </w:rPr>
      </w:pPr>
      <w:r>
        <w:rPr>
          <w:b/>
        </w:rPr>
        <w:t>Section 270.241  Reporting a Suspicious Death</w:t>
      </w:r>
    </w:p>
    <w:p w:rsidR="004B5089" w:rsidRDefault="004B5089" w:rsidP="004B5089">
      <w:pPr>
        <w:pStyle w:val="JCARSourceNote"/>
      </w:pPr>
    </w:p>
    <w:p w:rsidR="004B5089" w:rsidRDefault="004B5089" w:rsidP="004B5089">
      <w:pPr>
        <w:pStyle w:val="JCARSourceNote"/>
        <w:ind w:left="1440" w:hanging="720"/>
      </w:pPr>
      <w:r>
        <w:t>a)</w:t>
      </w:r>
      <w:r>
        <w:tab/>
        <w:t>When a report taker receives a report of a suspicious death, he or she shall promptly forward the report to the appropriate APS provider agency.  The APS provider agency shall then immediately report the matter to both the appropriate law enforcement agency and the coroner or medical examiner.</w:t>
      </w:r>
    </w:p>
    <w:p w:rsidR="004B5089" w:rsidRDefault="004B5089" w:rsidP="004B5089"/>
    <w:p w:rsidR="004B5089" w:rsidRDefault="004B5089" w:rsidP="004B5089">
      <w:pPr>
        <w:pStyle w:val="JCARSourceNote"/>
        <w:ind w:left="1440" w:hanging="720"/>
        <w:rPr>
          <w:i/>
        </w:rPr>
      </w:pPr>
      <w:r>
        <w:t>b)</w:t>
      </w:r>
      <w:r>
        <w:rPr>
          <w:i/>
        </w:rPr>
        <w:tab/>
      </w:r>
      <w:r>
        <w:t>Between 30 and 45 days after</w:t>
      </w:r>
      <w:r>
        <w:rPr>
          <w:i/>
        </w:rPr>
        <w:t xml:space="preserve"> </w:t>
      </w:r>
      <w:r>
        <w:t>reporting a suspicious death</w:t>
      </w:r>
      <w:r>
        <w:rPr>
          <w:i/>
        </w:rPr>
        <w:t>, the APS provider agency again shall contact the law enforcement agency and coroner or medical examiner to determine whether any further action was taken.</w:t>
      </w:r>
    </w:p>
    <w:p w:rsidR="004B5089" w:rsidRDefault="004B5089" w:rsidP="004B5089"/>
    <w:p w:rsidR="004B5089" w:rsidRDefault="004B5089" w:rsidP="004B5089">
      <w:pPr>
        <w:pStyle w:val="JCARSourceNote"/>
        <w:ind w:left="2160" w:hanging="720"/>
      </w:pPr>
      <w:r>
        <w:t>1)</w:t>
      </w:r>
      <w:r>
        <w:tab/>
      </w:r>
      <w:r>
        <w:rPr>
          <w:i/>
        </w:rPr>
        <w:t xml:space="preserve">Upon request by </w:t>
      </w:r>
      <w:r>
        <w:t>an APS</w:t>
      </w:r>
      <w:r>
        <w:rPr>
          <w:i/>
        </w:rPr>
        <w:t xml:space="preserve"> provider agency, a law enforcement agency and coroner or medical examiner shall supply a summary of its action in response to a reported death </w:t>
      </w:r>
      <w:r>
        <w:t>of an alleged victim</w:t>
      </w:r>
      <w:r>
        <w:rPr>
          <w:i/>
        </w:rPr>
        <w:t xml:space="preserve">.  </w:t>
      </w:r>
    </w:p>
    <w:p w:rsidR="004B5089" w:rsidRDefault="004B5089" w:rsidP="004B5089"/>
    <w:p w:rsidR="004B5089" w:rsidRDefault="004B5089" w:rsidP="004B5089">
      <w:pPr>
        <w:pStyle w:val="JCARSourceNote"/>
        <w:ind w:left="2160" w:hanging="720"/>
        <w:rPr>
          <w:i/>
        </w:rPr>
      </w:pPr>
      <w:r>
        <w:t>2)</w:t>
      </w:r>
      <w:r>
        <w:tab/>
      </w:r>
      <w:r>
        <w:rPr>
          <w:i/>
        </w:rPr>
        <w:t xml:space="preserve">A copy of the report shall be maintained and all subsequent follow-up with the law enforcement agency and coroner or medical examiner shall be documented in the case record </w:t>
      </w:r>
      <w:r>
        <w:t>of the alleged victim</w:t>
      </w:r>
      <w:r>
        <w:rPr>
          <w:i/>
        </w:rPr>
        <w:t xml:space="preserve">. </w:t>
      </w:r>
    </w:p>
    <w:p w:rsidR="004B5089" w:rsidRDefault="004B5089" w:rsidP="004B5089"/>
    <w:p w:rsidR="004B5089" w:rsidRDefault="004B5089" w:rsidP="004B5089">
      <w:pPr>
        <w:ind w:left="2160" w:hanging="720"/>
      </w:pPr>
      <w:r>
        <w:t>3)</w:t>
      </w:r>
      <w:r>
        <w:tab/>
      </w:r>
      <w:r>
        <w:rPr>
          <w:i/>
        </w:rPr>
        <w:t xml:space="preserve">If the law enforcement agency, coroner, or medical examiner determines the reported death was caused by abuse or neglect by a caregiver, the law enforcement agency, coroner, or medical examiner shall inform the Department, and the Department shall report the caregiver's identity on the Adult Protective Service Registry </w:t>
      </w:r>
      <w:r>
        <w:t>as described in Section 7.5 of this Act. [320 ILCS 20/3(c-5)]</w:t>
      </w:r>
    </w:p>
    <w:p w:rsidR="004B5089" w:rsidRDefault="004B5089" w:rsidP="004B5089"/>
    <w:p w:rsidR="004B5089" w:rsidRDefault="004B5089" w:rsidP="004B5089">
      <w:pPr>
        <w:pStyle w:val="JCARSourceNote"/>
        <w:ind w:left="720"/>
      </w:pPr>
      <w:r>
        <w:t>(Sourc</w:t>
      </w:r>
      <w:r w:rsidR="00C7728B">
        <w:t>e:  Amended at 39 Ill. Reg. 2156</w:t>
      </w:r>
      <w:bookmarkStart w:id="0" w:name="_GoBack"/>
      <w:bookmarkEnd w:id="0"/>
      <w:r>
        <w:t>, effective January 23, 2015)</w:t>
      </w:r>
    </w:p>
    <w:sectPr w:rsidR="004B50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96" w:rsidRDefault="00A44096">
      <w:r>
        <w:separator/>
      </w:r>
    </w:p>
  </w:endnote>
  <w:endnote w:type="continuationSeparator" w:id="0">
    <w:p w:rsidR="00A44096" w:rsidRDefault="00A4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96" w:rsidRDefault="00A44096">
      <w:r>
        <w:separator/>
      </w:r>
    </w:p>
  </w:footnote>
  <w:footnote w:type="continuationSeparator" w:id="0">
    <w:p w:rsidR="00A44096" w:rsidRDefault="00A44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9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DDB"/>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9CA"/>
    <w:rsid w:val="00367A2E"/>
    <w:rsid w:val="00374367"/>
    <w:rsid w:val="00374639"/>
    <w:rsid w:val="00375C58"/>
    <w:rsid w:val="003760AD"/>
    <w:rsid w:val="00381417"/>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089"/>
    <w:rsid w:val="004B6FF4"/>
    <w:rsid w:val="004C445A"/>
    <w:rsid w:val="004D11E7"/>
    <w:rsid w:val="004D5AFF"/>
    <w:rsid w:val="004D6EED"/>
    <w:rsid w:val="004D73D3"/>
    <w:rsid w:val="004E49DF"/>
    <w:rsid w:val="004E513F"/>
    <w:rsid w:val="004E74E4"/>
    <w:rsid w:val="004F0081"/>
    <w:rsid w:val="004F077B"/>
    <w:rsid w:val="005001C5"/>
    <w:rsid w:val="005039E7"/>
    <w:rsid w:val="0050660E"/>
    <w:rsid w:val="005109B5"/>
    <w:rsid w:val="00512795"/>
    <w:rsid w:val="005161BF"/>
    <w:rsid w:val="0052308E"/>
    <w:rsid w:val="005232CE"/>
    <w:rsid w:val="005237D3"/>
    <w:rsid w:val="00526060"/>
    <w:rsid w:val="00530BE1"/>
    <w:rsid w:val="00531849"/>
    <w:rsid w:val="00532064"/>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9D7"/>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0BB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FE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6D3"/>
    <w:rsid w:val="008B5152"/>
    <w:rsid w:val="008B56EA"/>
    <w:rsid w:val="008B77D8"/>
    <w:rsid w:val="008C1560"/>
    <w:rsid w:val="008C392E"/>
    <w:rsid w:val="008C4FAF"/>
    <w:rsid w:val="008C5359"/>
    <w:rsid w:val="008D06A1"/>
    <w:rsid w:val="008D4C93"/>
    <w:rsid w:val="008D7182"/>
    <w:rsid w:val="008E1C4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096"/>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91F"/>
    <w:rsid w:val="00C60D0B"/>
    <w:rsid w:val="00C67B51"/>
    <w:rsid w:val="00C72A95"/>
    <w:rsid w:val="00C72C0C"/>
    <w:rsid w:val="00C73CD4"/>
    <w:rsid w:val="00C748F6"/>
    <w:rsid w:val="00C7728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3BC"/>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CA307-4869-43FC-AD11-139CCF72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46293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5</cp:revision>
  <dcterms:created xsi:type="dcterms:W3CDTF">2015-01-27T18:15:00Z</dcterms:created>
  <dcterms:modified xsi:type="dcterms:W3CDTF">2015-02-03T21:32:00Z</dcterms:modified>
</cp:coreProperties>
</file>