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D740" w14:textId="77777777" w:rsidR="00F805EE" w:rsidRPr="00CA697E" w:rsidRDefault="00F805EE" w:rsidP="00F805EE">
      <w:pPr>
        <w:widowControl w:val="0"/>
        <w:autoSpaceDE w:val="0"/>
        <w:autoSpaceDN w:val="0"/>
        <w:adjustRightInd w:val="0"/>
      </w:pPr>
    </w:p>
    <w:p w14:paraId="54398CEA" w14:textId="77777777" w:rsidR="00F805EE" w:rsidRPr="00CA697E" w:rsidRDefault="00F805EE" w:rsidP="00F805EE">
      <w:pPr>
        <w:widowControl w:val="0"/>
        <w:autoSpaceDE w:val="0"/>
        <w:autoSpaceDN w:val="0"/>
        <w:adjustRightInd w:val="0"/>
      </w:pPr>
      <w:r w:rsidRPr="00CA697E">
        <w:rPr>
          <w:b/>
          <w:bCs/>
        </w:rPr>
        <w:t>Section 240.1650  Classification, Identification and Receipt of Provider Service Violations</w:t>
      </w:r>
      <w:r w:rsidRPr="00CA697E">
        <w:t xml:space="preserve"> </w:t>
      </w:r>
    </w:p>
    <w:p w14:paraId="3EDFBE9B" w14:textId="77777777" w:rsidR="00F805EE" w:rsidRPr="00CA697E" w:rsidRDefault="00F805EE" w:rsidP="00F805EE">
      <w:pPr>
        <w:widowControl w:val="0"/>
        <w:autoSpaceDE w:val="0"/>
        <w:autoSpaceDN w:val="0"/>
        <w:adjustRightInd w:val="0"/>
      </w:pPr>
    </w:p>
    <w:p w14:paraId="28A012BB" w14:textId="77777777" w:rsidR="00F805EE" w:rsidRPr="00CA697E" w:rsidRDefault="00F559FC" w:rsidP="00F805EE">
      <w:pPr>
        <w:widowControl w:val="0"/>
        <w:autoSpaceDE w:val="0"/>
        <w:autoSpaceDN w:val="0"/>
        <w:adjustRightInd w:val="0"/>
      </w:pPr>
      <w:r w:rsidRPr="00CA697E">
        <w:t>Failure</w:t>
      </w:r>
      <w:r w:rsidR="00F805EE" w:rsidRPr="00CA697E">
        <w:t xml:space="preserve"> to comply with the contract, proposal and Department rules shall be identified and classified by the Department. </w:t>
      </w:r>
    </w:p>
    <w:p w14:paraId="1FFB6248" w14:textId="77777777" w:rsidR="0054640C" w:rsidRPr="00CA697E" w:rsidRDefault="0054640C" w:rsidP="00F805EE">
      <w:pPr>
        <w:widowControl w:val="0"/>
        <w:autoSpaceDE w:val="0"/>
        <w:autoSpaceDN w:val="0"/>
        <w:adjustRightInd w:val="0"/>
      </w:pPr>
    </w:p>
    <w:p w14:paraId="09F62F8A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1440" w:hanging="720"/>
      </w:pPr>
      <w:r w:rsidRPr="00CA697E">
        <w:t>a)</w:t>
      </w:r>
      <w:r w:rsidRPr="00CA697E">
        <w:tab/>
        <w:t xml:space="preserve">In determining the classification assigned to each provider service violation, the Department shall consider the following: </w:t>
      </w:r>
    </w:p>
    <w:p w14:paraId="448A6A45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0D1BA832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1)</w:t>
      </w:r>
      <w:r w:rsidRPr="00CA697E">
        <w:tab/>
        <w:t xml:space="preserve">the severity of the violation; </w:t>
      </w:r>
    </w:p>
    <w:p w14:paraId="79103272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7D6C26A9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2)</w:t>
      </w:r>
      <w:r w:rsidRPr="00CA697E">
        <w:tab/>
        <w:t xml:space="preserve">the danger posed by the violation to the health, safety </w:t>
      </w:r>
      <w:r w:rsidR="00F559FC" w:rsidRPr="00CA697E">
        <w:t>or</w:t>
      </w:r>
      <w:r w:rsidRPr="00CA697E">
        <w:t xml:space="preserve"> welfare of the </w:t>
      </w:r>
      <w:r w:rsidR="00834119" w:rsidRPr="00CA697E">
        <w:t>participant</w:t>
      </w:r>
      <w:r w:rsidRPr="00CA697E">
        <w:t xml:space="preserve">, based upon degree of </w:t>
      </w:r>
      <w:r w:rsidR="008841AC" w:rsidRPr="00CA697E">
        <w:t>participant</w:t>
      </w:r>
      <w:r w:rsidRPr="00CA697E">
        <w:t xml:space="preserve"> impairment and availability of support sources; </w:t>
      </w:r>
    </w:p>
    <w:p w14:paraId="39142D49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561A2827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3)</w:t>
      </w:r>
      <w:r w:rsidRPr="00CA697E">
        <w:tab/>
        <w:t xml:space="preserve">the provider's efforts to correct violations; </w:t>
      </w:r>
    </w:p>
    <w:p w14:paraId="448349D1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7BB3B51B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4)</w:t>
      </w:r>
      <w:r w:rsidRPr="00CA697E">
        <w:tab/>
        <w:t xml:space="preserve">the volume and scope of </w:t>
      </w:r>
      <w:r w:rsidR="00F559FC" w:rsidRPr="00CA697E">
        <w:t>violations</w:t>
      </w:r>
      <w:r w:rsidRPr="00CA697E">
        <w:t xml:space="preserve">. </w:t>
      </w:r>
    </w:p>
    <w:p w14:paraId="3837D960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519B086C" w14:textId="69794A39" w:rsidR="00F805EE" w:rsidRPr="00CA697E" w:rsidRDefault="00F805EE" w:rsidP="00F805EE">
      <w:pPr>
        <w:widowControl w:val="0"/>
        <w:autoSpaceDE w:val="0"/>
        <w:autoSpaceDN w:val="0"/>
        <w:adjustRightInd w:val="0"/>
        <w:ind w:left="1440" w:hanging="720"/>
      </w:pPr>
      <w:r w:rsidRPr="00CA697E">
        <w:t>b)</w:t>
      </w:r>
      <w:r w:rsidRPr="00CA697E">
        <w:tab/>
        <w:t xml:space="preserve">There are </w:t>
      </w:r>
      <w:r w:rsidR="00730E70">
        <w:t>three</w:t>
      </w:r>
      <w:r w:rsidRPr="00CA697E">
        <w:t xml:space="preserve"> classifications of violations:  Type I, Type II and Type III. </w:t>
      </w:r>
    </w:p>
    <w:p w14:paraId="439EFB30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4517461D" w14:textId="6D215E12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1)</w:t>
      </w:r>
      <w:r w:rsidRPr="00CA697E">
        <w:tab/>
        <w:t xml:space="preserve">Type I provider service violations are </w:t>
      </w:r>
      <w:r w:rsidR="008841AC" w:rsidRPr="00CA697E">
        <w:t>participant-centered</w:t>
      </w:r>
      <w:r w:rsidRPr="00CA697E">
        <w:t xml:space="preserve"> violations </w:t>
      </w:r>
      <w:r w:rsidR="00F559FC" w:rsidRPr="00CA697E">
        <w:t>that</w:t>
      </w:r>
      <w:r w:rsidRPr="00CA697E">
        <w:t xml:space="preserve"> pose an imminent risk to the health, safety </w:t>
      </w:r>
      <w:r w:rsidR="00F559FC" w:rsidRPr="00CA697E">
        <w:t>or</w:t>
      </w:r>
      <w:r w:rsidRPr="00CA697E">
        <w:t xml:space="preserve"> welfare of the </w:t>
      </w:r>
      <w:proofErr w:type="spellStart"/>
      <w:r w:rsidRPr="00CA697E">
        <w:t>CCP</w:t>
      </w:r>
      <w:proofErr w:type="spellEnd"/>
      <w:r w:rsidRPr="00CA697E">
        <w:t xml:space="preserve"> </w:t>
      </w:r>
      <w:r w:rsidR="008841AC" w:rsidRPr="00CA697E">
        <w:t>participant</w:t>
      </w:r>
      <w:r w:rsidRPr="00CA697E">
        <w:t>, and</w:t>
      </w:r>
      <w:r w:rsidR="00940198">
        <w:t>/or</w:t>
      </w:r>
      <w:r w:rsidRPr="00CA697E">
        <w:t xml:space="preserve"> represent situations </w:t>
      </w:r>
      <w:r w:rsidR="00F559FC" w:rsidRPr="00CA697E">
        <w:t>in which</w:t>
      </w:r>
      <w:r w:rsidRPr="00CA697E">
        <w:t xml:space="preserve"> failure to correct the violation could result in the </w:t>
      </w:r>
      <w:r w:rsidR="00834119" w:rsidRPr="00CA697E">
        <w:t>participant's</w:t>
      </w:r>
      <w:r w:rsidRPr="00CA697E">
        <w:t xml:space="preserve"> potential hospitalization or nursing facility placement.  Type I violations shall receive priority attention, requiring immediate (within 24 hours) correction to remove the risk environment.  Permanent correction must be achieved within </w:t>
      </w:r>
      <w:r w:rsidR="00940198">
        <w:t>30</w:t>
      </w:r>
      <w:r w:rsidRPr="00CA697E">
        <w:t xml:space="preserve"> calendar days</w:t>
      </w:r>
      <w:r w:rsidR="00940198">
        <w:t xml:space="preserve"> after receiving notice of the violation</w:t>
      </w:r>
      <w:r w:rsidRPr="00CA697E">
        <w:t xml:space="preserve">. </w:t>
      </w:r>
    </w:p>
    <w:p w14:paraId="28E9B308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28861459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2)</w:t>
      </w:r>
      <w:r w:rsidRPr="00CA697E">
        <w:tab/>
        <w:t xml:space="preserve">Type II provider service violations are </w:t>
      </w:r>
      <w:r w:rsidR="008841AC" w:rsidRPr="00CA697E">
        <w:t>participant-centered</w:t>
      </w:r>
      <w:r w:rsidRPr="00CA697E">
        <w:t xml:space="preserve"> violations </w:t>
      </w:r>
      <w:r w:rsidR="00F559FC" w:rsidRPr="00CA697E">
        <w:t>that</w:t>
      </w:r>
      <w:r w:rsidRPr="00CA697E">
        <w:t xml:space="preserve"> pose a potentially serious risk to the </w:t>
      </w:r>
      <w:r w:rsidR="008841AC" w:rsidRPr="00CA697E">
        <w:t>participant</w:t>
      </w:r>
      <w:r w:rsidRPr="00CA697E">
        <w:t xml:space="preserve">.  These violations are to be corrected within 60 calendar days. </w:t>
      </w:r>
    </w:p>
    <w:p w14:paraId="3AC75706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0C625FF8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3)</w:t>
      </w:r>
      <w:r w:rsidRPr="00CA697E">
        <w:tab/>
        <w:t xml:space="preserve">Type III provider service violations are administrative violations </w:t>
      </w:r>
      <w:r w:rsidR="00F559FC" w:rsidRPr="00CA697E">
        <w:t>that</w:t>
      </w:r>
      <w:r w:rsidRPr="00CA697E">
        <w:t xml:space="preserve"> pose a very low risk to the </w:t>
      </w:r>
      <w:r w:rsidR="008841AC" w:rsidRPr="00CA697E">
        <w:t>participant</w:t>
      </w:r>
      <w:r w:rsidRPr="00CA697E">
        <w:t>.  The time</w:t>
      </w:r>
      <w:r w:rsidR="00EC3199">
        <w:t xml:space="preserve"> </w:t>
      </w:r>
      <w:r w:rsidRPr="00CA697E">
        <w:t xml:space="preserve">frame for correction of Type III violations shall be 60 calendar days or as established in an approved work plan. </w:t>
      </w:r>
    </w:p>
    <w:p w14:paraId="350857F4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1C230196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1440" w:hanging="720"/>
      </w:pPr>
      <w:r w:rsidRPr="00CA697E">
        <w:t>c)</w:t>
      </w:r>
      <w:r w:rsidRPr="00CA697E">
        <w:tab/>
        <w:t xml:space="preserve">Provider service violations include, but are not limited to, violation of the following </w:t>
      </w:r>
      <w:proofErr w:type="spellStart"/>
      <w:r w:rsidR="00A53C16">
        <w:t>CCP</w:t>
      </w:r>
      <w:proofErr w:type="spellEnd"/>
      <w:r w:rsidRPr="00CA697E">
        <w:t xml:space="preserve"> rules: </w:t>
      </w:r>
    </w:p>
    <w:p w14:paraId="06009816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5FD72722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1)</w:t>
      </w:r>
      <w:r w:rsidRPr="00CA697E">
        <w:tab/>
        <w:t xml:space="preserve">adult day service standard requirements </w:t>
      </w:r>
      <w:r w:rsidR="00650CAD">
        <w:t>(</w:t>
      </w:r>
      <w:r w:rsidRPr="00CA697E">
        <w:t>Section 240.1550</w:t>
      </w:r>
      <w:r w:rsidR="00650CAD">
        <w:t>)</w:t>
      </w:r>
      <w:r w:rsidRPr="00CA697E">
        <w:t xml:space="preserve">; </w:t>
      </w:r>
    </w:p>
    <w:p w14:paraId="5C052475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4C5485ED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2)</w:t>
      </w:r>
      <w:r w:rsidRPr="00CA697E">
        <w:tab/>
        <w:t xml:space="preserve">adult day service and in-home provider staffing requirements </w:t>
      </w:r>
      <w:r w:rsidR="00650CAD">
        <w:t>(</w:t>
      </w:r>
      <w:r w:rsidRPr="00CA697E">
        <w:t>Sections 240.1530 and 240.1555</w:t>
      </w:r>
      <w:r w:rsidR="00650CAD">
        <w:t>)</w:t>
      </w:r>
      <w:r w:rsidRPr="00CA697E">
        <w:t xml:space="preserve">; </w:t>
      </w:r>
    </w:p>
    <w:p w14:paraId="61A2C4BD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3C62793A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3)</w:t>
      </w:r>
      <w:r w:rsidRPr="00CA697E">
        <w:tab/>
        <w:t xml:space="preserve">special services </w:t>
      </w:r>
      <w:r w:rsidR="00650CAD">
        <w:t>(</w:t>
      </w:r>
      <w:r w:rsidRPr="00CA697E">
        <w:t>Subpart J</w:t>
      </w:r>
      <w:r w:rsidR="00650CAD">
        <w:t>)</w:t>
      </w:r>
      <w:r w:rsidRPr="00CA697E">
        <w:t xml:space="preserve">; </w:t>
      </w:r>
    </w:p>
    <w:p w14:paraId="28D1757F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0695514C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4)</w:t>
      </w:r>
      <w:r w:rsidRPr="00CA697E">
        <w:tab/>
        <w:t xml:space="preserve">provider administrative minimum standards and responsibilities </w:t>
      </w:r>
      <w:r w:rsidR="00650CAD">
        <w:t>(</w:t>
      </w:r>
      <w:r w:rsidRPr="00CA697E">
        <w:t>Sections 240.1510, 240.1520</w:t>
      </w:r>
      <w:r w:rsidR="005A29CC" w:rsidRPr="00CA697E">
        <w:t>, 240.1542</w:t>
      </w:r>
      <w:r w:rsidR="008841AC" w:rsidRPr="00CA697E">
        <w:t>, 240.1544</w:t>
      </w:r>
      <w:r w:rsidRPr="00CA697E">
        <w:t xml:space="preserve"> and 240.2020</w:t>
      </w:r>
      <w:r w:rsidR="00650CAD">
        <w:t>)</w:t>
      </w:r>
      <w:r w:rsidRPr="00CA697E">
        <w:t xml:space="preserve">; </w:t>
      </w:r>
    </w:p>
    <w:p w14:paraId="295C8104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5CCE36F7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5)</w:t>
      </w:r>
      <w:r w:rsidRPr="00CA697E">
        <w:tab/>
        <w:t xml:space="preserve">service components </w:t>
      </w:r>
      <w:r w:rsidR="00650CAD">
        <w:t>(</w:t>
      </w:r>
      <w:r w:rsidRPr="00CA697E">
        <w:t xml:space="preserve">Sections 240.210, 240.230, </w:t>
      </w:r>
      <w:r w:rsidR="005A29CC" w:rsidRPr="00CA697E">
        <w:t xml:space="preserve">240.235, </w:t>
      </w:r>
      <w:r w:rsidR="008841AC" w:rsidRPr="00CA697E">
        <w:t xml:space="preserve">240.237 </w:t>
      </w:r>
      <w:r w:rsidR="00104730">
        <w:t xml:space="preserve">and </w:t>
      </w:r>
      <w:r w:rsidRPr="00CA697E">
        <w:t>240.270</w:t>
      </w:r>
      <w:r w:rsidR="00650CAD">
        <w:t>)</w:t>
      </w:r>
      <w:r w:rsidRPr="00CA697E">
        <w:t xml:space="preserve">; </w:t>
      </w:r>
    </w:p>
    <w:p w14:paraId="6E1F8AA1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4B1627B7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6)</w:t>
      </w:r>
      <w:r w:rsidRPr="00CA697E">
        <w:tab/>
        <w:t xml:space="preserve">adult day service and in-home provider staff qualification and responsibilities </w:t>
      </w:r>
      <w:r w:rsidR="00650CAD">
        <w:t>(</w:t>
      </w:r>
      <w:r w:rsidRPr="00CA697E">
        <w:t>Sections 240.1535 and 240.1560</w:t>
      </w:r>
      <w:r w:rsidR="00650CAD">
        <w:t>)</w:t>
      </w:r>
      <w:r w:rsidRPr="00CA697E">
        <w:t xml:space="preserve">; </w:t>
      </w:r>
    </w:p>
    <w:p w14:paraId="2BFE809B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5D988E14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7)</w:t>
      </w:r>
      <w:r w:rsidRPr="00CA697E">
        <w:tab/>
        <w:t xml:space="preserve">service provision requirements </w:t>
      </w:r>
      <w:r w:rsidR="00650CAD">
        <w:t>(</w:t>
      </w:r>
      <w:r w:rsidR="00834119" w:rsidRPr="00CA697E">
        <w:t xml:space="preserve">Subpart B and </w:t>
      </w:r>
      <w:r w:rsidRPr="00CA697E">
        <w:t>Section 240.915</w:t>
      </w:r>
      <w:r w:rsidR="00650CAD">
        <w:t>)</w:t>
      </w:r>
      <w:r w:rsidR="00AD6D56" w:rsidRPr="00CA697E">
        <w:t>;</w:t>
      </w:r>
      <w:r w:rsidRPr="00CA697E">
        <w:t xml:space="preserve"> </w:t>
      </w:r>
    </w:p>
    <w:p w14:paraId="408F71F4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5A136B91" w14:textId="77777777" w:rsidR="005A29CC" w:rsidRPr="00CA697E" w:rsidRDefault="005A29CC" w:rsidP="005A29CC">
      <w:pPr>
        <w:ind w:left="2160" w:hanging="720"/>
      </w:pPr>
      <w:r w:rsidRPr="00CA697E">
        <w:t>8)</w:t>
      </w:r>
      <w:r w:rsidRPr="00CA697E">
        <w:tab/>
        <w:t xml:space="preserve">emergency home response equipment </w:t>
      </w:r>
      <w:r w:rsidR="00650CAD">
        <w:t>(</w:t>
      </w:r>
      <w:r w:rsidRPr="00CA697E">
        <w:t>Section 240.1541</w:t>
      </w:r>
      <w:r w:rsidR="00650CAD">
        <w:t>)</w:t>
      </w:r>
      <w:r w:rsidR="008841AC" w:rsidRPr="00CA697E">
        <w:t>;</w:t>
      </w:r>
      <w:r w:rsidRPr="00CA697E">
        <w:t xml:space="preserve"> </w:t>
      </w:r>
    </w:p>
    <w:p w14:paraId="36126FEB" w14:textId="77777777" w:rsidR="005A29CC" w:rsidRPr="00CA697E" w:rsidRDefault="005A29CC" w:rsidP="00EB5F38">
      <w:pPr>
        <w:widowControl w:val="0"/>
        <w:autoSpaceDE w:val="0"/>
        <w:autoSpaceDN w:val="0"/>
        <w:adjustRightInd w:val="0"/>
      </w:pPr>
    </w:p>
    <w:p w14:paraId="7C5C66D4" w14:textId="77777777" w:rsidR="008841AC" w:rsidRPr="00CA697E" w:rsidRDefault="008841AC" w:rsidP="008841AC">
      <w:pPr>
        <w:widowControl w:val="0"/>
        <w:autoSpaceDE w:val="0"/>
        <w:autoSpaceDN w:val="0"/>
        <w:adjustRightInd w:val="0"/>
        <w:ind w:left="2160" w:hanging="720"/>
      </w:pPr>
      <w:r w:rsidRPr="00CA697E">
        <w:t>9)</w:t>
      </w:r>
      <w:r w:rsidRPr="00CA697E">
        <w:tab/>
      </w:r>
      <w:r w:rsidR="00291F71" w:rsidRPr="00291F71">
        <w:t>AMD</w:t>
      </w:r>
      <w:r w:rsidRPr="00CA697E">
        <w:t xml:space="preserve"> equipment </w:t>
      </w:r>
      <w:r w:rsidR="00650CAD">
        <w:t>(</w:t>
      </w:r>
      <w:r w:rsidRPr="00CA697E">
        <w:t>Section 240.1543</w:t>
      </w:r>
      <w:r w:rsidR="00650CAD">
        <w:t>)</w:t>
      </w:r>
      <w:r w:rsidRPr="00CA697E">
        <w:t>.</w:t>
      </w:r>
    </w:p>
    <w:p w14:paraId="7FE1D8C2" w14:textId="77777777" w:rsidR="008841AC" w:rsidRPr="00CA697E" w:rsidRDefault="008841AC" w:rsidP="00EB5F38">
      <w:pPr>
        <w:widowControl w:val="0"/>
        <w:autoSpaceDE w:val="0"/>
        <w:autoSpaceDN w:val="0"/>
        <w:adjustRightInd w:val="0"/>
      </w:pPr>
    </w:p>
    <w:p w14:paraId="16459386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1440" w:hanging="720"/>
      </w:pPr>
      <w:r w:rsidRPr="00CA697E">
        <w:t>d)</w:t>
      </w:r>
      <w:r w:rsidRPr="00CA697E">
        <w:tab/>
        <w:t xml:space="preserve">The Department will be in receipt of reported violations through the following methods: </w:t>
      </w:r>
    </w:p>
    <w:p w14:paraId="063937B3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5C1A9475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1)</w:t>
      </w:r>
      <w:r w:rsidRPr="00CA697E">
        <w:tab/>
        <w:t xml:space="preserve">Performance reviews of contracted provider agencies </w:t>
      </w:r>
      <w:r w:rsidR="00650CAD">
        <w:t>(</w:t>
      </w:r>
      <w:r w:rsidRPr="00CA697E">
        <w:t>Section 240.1660</w:t>
      </w:r>
      <w:r w:rsidR="00650CAD">
        <w:t>)</w:t>
      </w:r>
      <w:r w:rsidRPr="00CA697E">
        <w:t xml:space="preserve">; </w:t>
      </w:r>
    </w:p>
    <w:p w14:paraId="02BE42D2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58161E7F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2)</w:t>
      </w:r>
      <w:r w:rsidRPr="00CA697E">
        <w:tab/>
        <w:t>Service complaints/violations</w:t>
      </w:r>
      <w:r w:rsidR="00F559FC" w:rsidRPr="00CA697E">
        <w:t xml:space="preserve"> that</w:t>
      </w:r>
      <w:r w:rsidRPr="00CA697E">
        <w:t xml:space="preserve"> are reported directly to the Department or to the Senior </w:t>
      </w:r>
      <w:proofErr w:type="spellStart"/>
      <w:r w:rsidRPr="00CA697E">
        <w:t>HelpLine</w:t>
      </w:r>
      <w:proofErr w:type="spellEnd"/>
      <w:r w:rsidRPr="00CA697E">
        <w:t xml:space="preserve"> of the Department or are referred to the Senior </w:t>
      </w:r>
      <w:proofErr w:type="spellStart"/>
      <w:r w:rsidRPr="00CA697E">
        <w:t>HelpLine</w:t>
      </w:r>
      <w:proofErr w:type="spellEnd"/>
      <w:r w:rsidRPr="00CA697E">
        <w:t xml:space="preserve"> by the Department/</w:t>
      </w:r>
      <w:r w:rsidR="00A53C16">
        <w:t>CCU</w:t>
      </w:r>
      <w:r w:rsidR="00F559FC" w:rsidRPr="00CA697E">
        <w:t xml:space="preserve"> or</w:t>
      </w:r>
      <w:r w:rsidRPr="00CA697E">
        <w:t xml:space="preserve"> service provider/other; and/or </w:t>
      </w:r>
    </w:p>
    <w:p w14:paraId="639CCE6C" w14:textId="77777777" w:rsidR="0054640C" w:rsidRPr="00CA697E" w:rsidRDefault="0054640C" w:rsidP="00EB5F38">
      <w:pPr>
        <w:widowControl w:val="0"/>
        <w:autoSpaceDE w:val="0"/>
        <w:autoSpaceDN w:val="0"/>
        <w:adjustRightInd w:val="0"/>
      </w:pPr>
    </w:p>
    <w:p w14:paraId="11A7DF60" w14:textId="77777777" w:rsidR="00F805EE" w:rsidRPr="00CA697E" w:rsidRDefault="00F805EE" w:rsidP="00F805EE">
      <w:pPr>
        <w:widowControl w:val="0"/>
        <w:autoSpaceDE w:val="0"/>
        <w:autoSpaceDN w:val="0"/>
        <w:adjustRightInd w:val="0"/>
        <w:ind w:left="2160" w:hanging="720"/>
      </w:pPr>
      <w:r w:rsidRPr="00CA697E">
        <w:t>3)</w:t>
      </w:r>
      <w:r w:rsidRPr="00CA697E">
        <w:tab/>
        <w:t xml:space="preserve">Reports from Department staff. </w:t>
      </w:r>
    </w:p>
    <w:p w14:paraId="70312D0E" w14:textId="77777777" w:rsidR="00F805EE" w:rsidRPr="00CA697E" w:rsidRDefault="00F805EE" w:rsidP="00EB5F38">
      <w:pPr>
        <w:widowControl w:val="0"/>
        <w:autoSpaceDE w:val="0"/>
        <w:autoSpaceDN w:val="0"/>
        <w:adjustRightInd w:val="0"/>
      </w:pPr>
    </w:p>
    <w:p w14:paraId="299A615B" w14:textId="0A433CFE" w:rsidR="008841AC" w:rsidRPr="00CA697E" w:rsidRDefault="00730E70">
      <w:pPr>
        <w:pStyle w:val="JCARSourceNote"/>
        <w:ind w:left="720"/>
      </w:pPr>
      <w:r w:rsidRPr="00FD1AD2">
        <w:t>(Source:  Amended at 4</w:t>
      </w:r>
      <w:r w:rsidR="00A57154">
        <w:t>8</w:t>
      </w:r>
      <w:r w:rsidRPr="00FD1AD2">
        <w:t xml:space="preserve"> Ill. Reg. </w:t>
      </w:r>
      <w:r w:rsidR="00B05BE1">
        <w:t>11053</w:t>
      </w:r>
      <w:r w:rsidRPr="00FD1AD2">
        <w:t xml:space="preserve">, effective </w:t>
      </w:r>
      <w:r w:rsidR="00B05BE1">
        <w:t>July 16, 2024</w:t>
      </w:r>
      <w:r w:rsidRPr="00FD1AD2">
        <w:t>)</w:t>
      </w:r>
    </w:p>
    <w:sectPr w:rsidR="008841AC" w:rsidRPr="00CA697E" w:rsidSect="00F805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05EE"/>
    <w:rsid w:val="00041CF1"/>
    <w:rsid w:val="00104730"/>
    <w:rsid w:val="001B1CBE"/>
    <w:rsid w:val="00266A0D"/>
    <w:rsid w:val="00291F71"/>
    <w:rsid w:val="002F0E83"/>
    <w:rsid w:val="0054640C"/>
    <w:rsid w:val="005A29CC"/>
    <w:rsid w:val="005C3366"/>
    <w:rsid w:val="005D0783"/>
    <w:rsid w:val="00650CAD"/>
    <w:rsid w:val="00730E70"/>
    <w:rsid w:val="00834119"/>
    <w:rsid w:val="008841AC"/>
    <w:rsid w:val="008B3F19"/>
    <w:rsid w:val="00940198"/>
    <w:rsid w:val="00990499"/>
    <w:rsid w:val="00A05F47"/>
    <w:rsid w:val="00A53C16"/>
    <w:rsid w:val="00A57154"/>
    <w:rsid w:val="00AD6D56"/>
    <w:rsid w:val="00B05BE1"/>
    <w:rsid w:val="00B34DDE"/>
    <w:rsid w:val="00B6231C"/>
    <w:rsid w:val="00B77A6B"/>
    <w:rsid w:val="00CA697E"/>
    <w:rsid w:val="00D3206E"/>
    <w:rsid w:val="00DE2879"/>
    <w:rsid w:val="00EB2F58"/>
    <w:rsid w:val="00EB5F38"/>
    <w:rsid w:val="00EC3199"/>
    <w:rsid w:val="00F559FC"/>
    <w:rsid w:val="00F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884F8E"/>
  <w15:docId w15:val="{7D518151-CD27-489A-8A31-EB2063E8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A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4</cp:revision>
  <dcterms:created xsi:type="dcterms:W3CDTF">2024-05-15T15:54:00Z</dcterms:created>
  <dcterms:modified xsi:type="dcterms:W3CDTF">2024-08-02T01:20:00Z</dcterms:modified>
</cp:coreProperties>
</file>