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5F" w:rsidRDefault="0043505F" w:rsidP="00435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05F" w:rsidRDefault="0043505F" w:rsidP="0043505F">
      <w:pPr>
        <w:widowControl w:val="0"/>
        <w:autoSpaceDE w:val="0"/>
        <w:autoSpaceDN w:val="0"/>
        <w:adjustRightInd w:val="0"/>
        <w:jc w:val="center"/>
      </w:pPr>
      <w:r>
        <w:t>PART 143</w:t>
      </w:r>
    </w:p>
    <w:p w:rsidR="0043505F" w:rsidRDefault="0043505F" w:rsidP="0043505F">
      <w:pPr>
        <w:widowControl w:val="0"/>
        <w:autoSpaceDE w:val="0"/>
        <w:autoSpaceDN w:val="0"/>
        <w:adjustRightInd w:val="0"/>
        <w:jc w:val="center"/>
      </w:pPr>
      <w:r>
        <w:t>MANAGED CARE COMMUNITY NETWORKS</w:t>
      </w:r>
    </w:p>
    <w:sectPr w:rsidR="0043505F" w:rsidSect="00435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05F"/>
    <w:rsid w:val="00063D0C"/>
    <w:rsid w:val="00407F7B"/>
    <w:rsid w:val="0043505F"/>
    <w:rsid w:val="005C3366"/>
    <w:rsid w:val="00B5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143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143</dc:title>
  <dc:subject/>
  <dc:creator>Illinois General Assembly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