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DB" w:rsidRDefault="00C070DB" w:rsidP="00F825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0DB" w:rsidRDefault="00C070DB" w:rsidP="00F825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140.571   Capital Rate Calculation</w:t>
      </w:r>
      <w:r>
        <w:t xml:space="preserve"> </w:t>
      </w:r>
    </w:p>
    <w:p w:rsidR="00C070DB" w:rsidRDefault="00C070DB" w:rsidP="00F825BC">
      <w:pPr>
        <w:widowControl w:val="0"/>
        <w:autoSpaceDE w:val="0"/>
        <w:autoSpaceDN w:val="0"/>
        <w:adjustRightInd w:val="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Determination of Blended Value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720" w:firstLine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capital rate will be calculated through a blending of: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1440" w:firstLine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the uniform building value and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1440" w:firstLine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the building specific historical cost per bed.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2160" w:hanging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building specific historical cost per bed (B) is less than the uniform building value (A), the blended value will be one-half of the difference between (A) and (B) added to (B) the building specific historical cost per bed. For example, if (b) is $16,000 and (A) is $20,000, the blended value will be $18,000.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2160" w:hanging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building specific historical cost per bed (B) is greater than the uniform building value (A), the blended value will be one-half of the difference between (A) and (B) added to (A) the uniform building value.  In this situation, the blended value will be limited to 120% of the uniform building value (A). </w:t>
      </w:r>
    </w:p>
    <w:p w:rsidR="00C070DB" w:rsidRDefault="00C070DB" w:rsidP="006C43F8">
      <w:pPr>
        <w:widowControl w:val="0"/>
        <w:autoSpaceDE w:val="0"/>
        <w:autoSpaceDN w:val="0"/>
        <w:adjustRightInd w:val="0"/>
        <w:ind w:left="2160"/>
      </w:pPr>
      <w:r>
        <w:t xml:space="preserve">For example, if (B) is $28,000 and (A) is $16,000, the blended value will be $19,200. </w:t>
      </w:r>
    </w:p>
    <w:p w:rsidR="000D20DB" w:rsidRDefault="000D20DB" w:rsidP="006C43F8">
      <w:pPr>
        <w:widowControl w:val="0"/>
        <w:autoSpaceDE w:val="0"/>
        <w:autoSpaceDN w:val="0"/>
        <w:adjustRightInd w:val="0"/>
        <w:ind w:left="216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Rate Calculation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2160" w:hanging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blended value will be divided by 339 days.  (The 339 days is 365 days times a 93% occupancy standard.)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2160" w:hanging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 diem value will be multiplied by the rate of return to obtain a building rate factor.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2160" w:hanging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ERVWC factor will be added to the building rate factor to obtain the preliminary capital rate. </w:t>
      </w:r>
    </w:p>
    <w:p w:rsidR="000D20DB" w:rsidRDefault="000D20DB" w:rsidP="00F825BC">
      <w:pPr>
        <w:widowControl w:val="0"/>
        <w:autoSpaceDE w:val="0"/>
        <w:autoSpaceDN w:val="0"/>
        <w:adjustRightInd w:val="0"/>
        <w:ind w:left="2160" w:hanging="72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capital rate will be the greater of the preliminary capital rate from 3) or an implementation capital rate which is 115% of the FY'91 capital rate paid to the same licensed provider. </w:t>
      </w:r>
    </w:p>
    <w:p w:rsidR="00C070DB" w:rsidRDefault="00C070DB" w:rsidP="00F825BC">
      <w:pPr>
        <w:widowControl w:val="0"/>
        <w:autoSpaceDE w:val="0"/>
        <w:autoSpaceDN w:val="0"/>
        <w:adjustRightInd w:val="0"/>
      </w:pPr>
    </w:p>
    <w:p w:rsidR="00C070DB" w:rsidRDefault="00C070DB" w:rsidP="00F825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19146, effective December 1, 1992) </w:t>
      </w:r>
    </w:p>
    <w:sectPr w:rsidR="00C070DB" w:rsidSect="00F825B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0DB"/>
    <w:rsid w:val="000D20DB"/>
    <w:rsid w:val="006577A5"/>
    <w:rsid w:val="006C43F8"/>
    <w:rsid w:val="007B5A1B"/>
    <w:rsid w:val="009602CD"/>
    <w:rsid w:val="00C070DB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