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85" w:rsidRDefault="00673185" w:rsidP="006731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3185" w:rsidRDefault="00673185" w:rsidP="006731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121.93   Issuance of Food Stamp Benefits</w:t>
      </w:r>
      <w:r>
        <w:t xml:space="preserve"> </w:t>
      </w:r>
    </w:p>
    <w:p w:rsidR="00673185" w:rsidRDefault="00673185" w:rsidP="00673185">
      <w:pPr>
        <w:widowControl w:val="0"/>
        <w:autoSpaceDE w:val="0"/>
        <w:autoSpaceDN w:val="0"/>
        <w:adjustRightInd w:val="0"/>
      </w:pPr>
    </w:p>
    <w:p w:rsidR="00673185" w:rsidRDefault="00673185" w:rsidP="00673185">
      <w:pPr>
        <w:widowControl w:val="0"/>
        <w:autoSpaceDE w:val="0"/>
        <w:autoSpaceDN w:val="0"/>
        <w:adjustRightInd w:val="0"/>
      </w:pPr>
      <w:r>
        <w:t>Food stamp benefits shall be issued to the payee via an electronic benefits account established by the Department through Electronic Benefits Transfer (</w:t>
      </w:r>
      <w:proofErr w:type="spellStart"/>
      <w:r>
        <w:t>EBT</w:t>
      </w:r>
      <w:proofErr w:type="spellEnd"/>
      <w:r>
        <w:t xml:space="preserve">).  The payee may access the benefits at any participating Point-of-Sale (POS) terminal unless an administrative remedy in Section 121.94(d) of this Part has been imposed. </w:t>
      </w:r>
    </w:p>
    <w:p w:rsidR="00673185" w:rsidRDefault="00673185" w:rsidP="00673185">
      <w:pPr>
        <w:widowControl w:val="0"/>
        <w:autoSpaceDE w:val="0"/>
        <w:autoSpaceDN w:val="0"/>
        <w:adjustRightInd w:val="0"/>
      </w:pPr>
    </w:p>
    <w:p w:rsidR="00673185" w:rsidRDefault="00673185" w:rsidP="006731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11856, effective August 31, 2001) </w:t>
      </w:r>
    </w:p>
    <w:sectPr w:rsidR="00673185" w:rsidSect="00673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185"/>
    <w:rsid w:val="003817E3"/>
    <w:rsid w:val="005C3366"/>
    <w:rsid w:val="00673185"/>
    <w:rsid w:val="00AD2985"/>
    <w:rsid w:val="00C1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