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44" w:rsidRDefault="00115244" w:rsidP="00115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244" w:rsidRDefault="00115244" w:rsidP="001152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121.33  Unearned Income In-Kind</w:t>
      </w:r>
      <w:r>
        <w:t xml:space="preserve"> </w:t>
      </w:r>
    </w:p>
    <w:p w:rsidR="00115244" w:rsidRDefault="00115244" w:rsidP="00115244">
      <w:pPr>
        <w:widowControl w:val="0"/>
        <w:autoSpaceDE w:val="0"/>
        <w:autoSpaceDN w:val="0"/>
        <w:adjustRightInd w:val="0"/>
      </w:pPr>
    </w:p>
    <w:p w:rsidR="00115244" w:rsidRDefault="00115244" w:rsidP="00115244">
      <w:pPr>
        <w:widowControl w:val="0"/>
        <w:autoSpaceDE w:val="0"/>
        <w:autoSpaceDN w:val="0"/>
        <w:adjustRightInd w:val="0"/>
      </w:pPr>
      <w:r>
        <w:t xml:space="preserve">Unearned income in-kind shall be exempt when the major benefit accrues to the payer rather than to the household. </w:t>
      </w:r>
    </w:p>
    <w:p w:rsidR="00115244" w:rsidRDefault="00115244" w:rsidP="00115244">
      <w:pPr>
        <w:widowControl w:val="0"/>
        <w:autoSpaceDE w:val="0"/>
        <w:autoSpaceDN w:val="0"/>
        <w:adjustRightInd w:val="0"/>
      </w:pPr>
    </w:p>
    <w:p w:rsidR="00115244" w:rsidRDefault="00115244" w:rsidP="001152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33, p.399, effective August 18, 1979) </w:t>
      </w:r>
    </w:p>
    <w:sectPr w:rsidR="00115244" w:rsidSect="00115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244"/>
    <w:rsid w:val="00115244"/>
    <w:rsid w:val="005C3366"/>
    <w:rsid w:val="006402FE"/>
    <w:rsid w:val="00812778"/>
    <w:rsid w:val="00D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