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0" w:rsidRDefault="003F5D50" w:rsidP="003F5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5D50" w:rsidRDefault="003F5D50" w:rsidP="003F5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120.399  Redetermination of Eligibility</w:t>
      </w:r>
      <w:r>
        <w:t xml:space="preserve"> </w:t>
      </w:r>
    </w:p>
    <w:p w:rsidR="003F5D50" w:rsidRDefault="003F5D50" w:rsidP="003F5D50">
      <w:pPr>
        <w:widowControl w:val="0"/>
        <w:autoSpaceDE w:val="0"/>
        <w:autoSpaceDN w:val="0"/>
        <w:adjustRightInd w:val="0"/>
      </w:pPr>
    </w:p>
    <w:p w:rsidR="003F5D50" w:rsidRDefault="003F5D50" w:rsidP="003F5D50">
      <w:pPr>
        <w:widowControl w:val="0"/>
        <w:autoSpaceDE w:val="0"/>
        <w:autoSpaceDN w:val="0"/>
        <w:adjustRightInd w:val="0"/>
      </w:pPr>
      <w:r>
        <w:t xml:space="preserve">It is the Department's responsibility to determine the continued eligibility of all recipients of medical assistance and it is the recipient's responsibility to cooperate in the redetermination of eligibility.  A redetermination of eligibility shall be conducted at least every twelve months and at any time it becomes known to the Department that a recipient's circumstances affecting eligibility may have changed. </w:t>
      </w:r>
    </w:p>
    <w:p w:rsidR="003F5D50" w:rsidRDefault="003F5D50" w:rsidP="003F5D50">
      <w:pPr>
        <w:widowControl w:val="0"/>
        <w:autoSpaceDE w:val="0"/>
        <w:autoSpaceDN w:val="0"/>
        <w:adjustRightInd w:val="0"/>
      </w:pPr>
    </w:p>
    <w:p w:rsidR="003F5D50" w:rsidRDefault="003F5D50" w:rsidP="003F5D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16098, effective December 1, 2001) </w:t>
      </w:r>
    </w:p>
    <w:sectPr w:rsidR="003F5D50" w:rsidSect="003F5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D50"/>
    <w:rsid w:val="002E614D"/>
    <w:rsid w:val="003F5D50"/>
    <w:rsid w:val="004F7DA5"/>
    <w:rsid w:val="005C3366"/>
    <w:rsid w:val="00E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