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32" w:rsidRDefault="00FC0C32" w:rsidP="00FC0C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0C32" w:rsidRDefault="00FC0C32" w:rsidP="00FC0C32">
      <w:pPr>
        <w:widowControl w:val="0"/>
        <w:autoSpaceDE w:val="0"/>
        <w:autoSpaceDN w:val="0"/>
        <w:adjustRightInd w:val="0"/>
        <w:jc w:val="center"/>
      </w:pPr>
      <w:r>
        <w:t>SUBPART C:  FINANCIAL FACTORS OF ELIGIBILITY</w:t>
      </w:r>
    </w:p>
    <w:sectPr w:rsidR="00FC0C32" w:rsidSect="00FC0C32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0C32"/>
    <w:rsid w:val="0004357F"/>
    <w:rsid w:val="0015590F"/>
    <w:rsid w:val="00483BD1"/>
    <w:rsid w:val="009F106D"/>
    <w:rsid w:val="00FC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FINANCIAL FACTORS OF ELIGIBILITY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FINANCIAL FACTORS OF ELIGIBILITY</dc:title>
  <dc:subject/>
  <dc:creator>ThomasVD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