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20" w:rsidRDefault="00C31F20" w:rsidP="00C31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F20" w:rsidRDefault="00C31F20" w:rsidP="00C31F20">
      <w:pPr>
        <w:widowControl w:val="0"/>
        <w:autoSpaceDE w:val="0"/>
        <w:autoSpaceDN w:val="0"/>
        <w:adjustRightInd w:val="0"/>
      </w:pPr>
      <w:r>
        <w:t xml:space="preserve">SOURCE:  Emergency rules adopted at 21 Ill. Reg. 13180, effective September 11, 1997, for a maximum of 150 days; adopted at 22 Ill. Reg. 3460, effective February 1, 1998; emergency amendment at 24 Ill. Reg. 7917, effective May 22, 2000, for a maximum of 150 days; amended at 24 Ill. Reg. 16047, effective October 15, 2000. </w:t>
      </w:r>
      <w:r>
        <w:tab/>
      </w:r>
    </w:p>
    <w:sectPr w:rsidR="00C31F20" w:rsidSect="00C31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F20"/>
    <w:rsid w:val="00046CBA"/>
    <w:rsid w:val="0037138D"/>
    <w:rsid w:val="0040311D"/>
    <w:rsid w:val="005C3366"/>
    <w:rsid w:val="00C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21 Ill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