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94" w:rsidRDefault="005A669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6694" w:rsidRDefault="005A6694">
      <w:pPr>
        <w:widowControl w:val="0"/>
        <w:autoSpaceDE w:val="0"/>
        <w:autoSpaceDN w:val="0"/>
        <w:adjustRightInd w:val="0"/>
        <w:ind w:left="720" w:hanging="720"/>
      </w:pPr>
      <w:r>
        <w:rPr>
          <w:b/>
          <w:bCs/>
        </w:rPr>
        <w:t>Section 265.200  Initial Consideration by Staff</w:t>
      </w:r>
      <w:r>
        <w:t xml:space="preserve"> </w:t>
      </w:r>
    </w:p>
    <w:p w:rsidR="005A6694" w:rsidRDefault="005A6694">
      <w:pPr>
        <w:widowControl w:val="0"/>
        <w:autoSpaceDE w:val="0"/>
        <w:autoSpaceDN w:val="0"/>
        <w:adjustRightInd w:val="0"/>
        <w:ind w:left="720" w:hanging="720"/>
      </w:pPr>
    </w:p>
    <w:p w:rsidR="005A6694" w:rsidRDefault="005A669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Upon the receipt of a report of a suspected violation, the Staff of the Commission shall consider the matter and determine whether a violation has occurred. Staff's consideration may include, among other things, one or more of the following: </w:t>
      </w:r>
    </w:p>
    <w:p w:rsidR="005A6694" w:rsidRDefault="005A669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Verification of records; </w:t>
      </w:r>
    </w:p>
    <w:p w:rsidR="005A6694" w:rsidRDefault="005A669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Informal meetings; </w:t>
      </w:r>
    </w:p>
    <w:p w:rsidR="005A6694" w:rsidRDefault="005A669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Teleconferences; </w:t>
      </w:r>
    </w:p>
    <w:p w:rsidR="005A6694" w:rsidRDefault="005A669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Photo-documentation; and </w:t>
      </w:r>
    </w:p>
    <w:p w:rsidR="005A6694" w:rsidRDefault="005A6694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Comments or correspondence obtained from the parties involved. </w:t>
      </w:r>
    </w:p>
    <w:p w:rsidR="005A6694" w:rsidRDefault="005A669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Staff determines that a violation has occurred, Staff shall also consider the appropriate amount, if any, of a penalty to assess. In determining the amount of the penalty, Staff shall consider the alleged violator's: </w:t>
      </w:r>
    </w:p>
    <w:p w:rsidR="005A6694" w:rsidRDefault="005A669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>
        <w:rPr>
          <w:i/>
          <w:iCs/>
        </w:rPr>
        <w:t>Gravity of noncompliance with the law;</w:t>
      </w:r>
      <w:r>
        <w:t xml:space="preserve"> </w:t>
      </w:r>
    </w:p>
    <w:p w:rsidR="005A6694" w:rsidRDefault="005A669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>
        <w:rPr>
          <w:i/>
          <w:iCs/>
        </w:rPr>
        <w:t>Culpability;</w:t>
      </w:r>
      <w:r>
        <w:t xml:space="preserve"> </w:t>
      </w:r>
    </w:p>
    <w:p w:rsidR="005A6694" w:rsidRDefault="005A669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>
        <w:rPr>
          <w:i/>
          <w:iCs/>
        </w:rPr>
        <w:t>History of noncompliance;</w:t>
      </w:r>
      <w:r>
        <w:t xml:space="preserve"> </w:t>
      </w:r>
    </w:p>
    <w:p w:rsidR="005A6694" w:rsidRDefault="005A669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>
        <w:rPr>
          <w:i/>
          <w:iCs/>
        </w:rPr>
        <w:t>Ability to pay the penalty;</w:t>
      </w:r>
      <w:r>
        <w:t xml:space="preserve"> </w:t>
      </w:r>
    </w:p>
    <w:p w:rsidR="005A6694" w:rsidRDefault="005A6694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>
        <w:rPr>
          <w:i/>
          <w:iCs/>
        </w:rPr>
        <w:t>Good faith in attempting to comply with the law;</w:t>
      </w:r>
      <w:r>
        <w:t xml:space="preserve"> </w:t>
      </w:r>
    </w:p>
    <w:p w:rsidR="005A6694" w:rsidRDefault="005A6694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</w:r>
      <w:r>
        <w:rPr>
          <w:i/>
          <w:iCs/>
        </w:rPr>
        <w:t>Ability to continue in business; and</w:t>
      </w:r>
      <w:r>
        <w:t xml:space="preserve"> </w:t>
      </w:r>
    </w:p>
    <w:p w:rsidR="005A6694" w:rsidRDefault="005A6694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</w:r>
      <w:r>
        <w:rPr>
          <w:i/>
          <w:iCs/>
        </w:rPr>
        <w:t>Any other special circumstances relevant to the matter</w:t>
      </w:r>
      <w:r>
        <w:t xml:space="preserve">. [220 ILCS 50/11(j)] </w:t>
      </w:r>
    </w:p>
    <w:p w:rsidR="005A6694" w:rsidRDefault="005A669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penalties assessed shall not exceed the maximum penalties provided by Section 11 of the Act [220 ILCS 50/11]. </w:t>
      </w:r>
    </w:p>
    <w:sectPr w:rsidR="005A66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6694"/>
    <w:rsid w:val="005A6694"/>
    <w:rsid w:val="006C7014"/>
    <w:rsid w:val="007D1978"/>
    <w:rsid w:val="00A7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265</vt:lpstr>
    </vt:vector>
  </TitlesOfParts>
  <Company>State of Illinois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265</dc:title>
  <dc:subject/>
  <dc:creator>LambTR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